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5E311" w14:textId="77777777" w:rsidR="003C3534" w:rsidRPr="006303B5" w:rsidRDefault="003C3534" w:rsidP="003C3534">
      <w:pPr>
        <w:pStyle w:val="Rubrik"/>
        <w:jc w:val="left"/>
        <w:rPr>
          <w:rFonts w:ascii="Cambria" w:hAnsi="Cambria"/>
          <w:sz w:val="28"/>
          <w:szCs w:val="28"/>
          <w:lang w:val="sv-SE"/>
        </w:rPr>
      </w:pPr>
      <w:bookmarkStart w:id="0" w:name="_Hlk8318623"/>
      <w:r>
        <w:rPr>
          <w:rFonts w:ascii="Cambria" w:hAnsi="Cambria"/>
          <w:sz w:val="28"/>
          <w:szCs w:val="28"/>
          <w:lang w:val="sv-SE"/>
        </w:rPr>
        <w:t>Nytt antal aktier efter registrering</w:t>
      </w:r>
    </w:p>
    <w:p w14:paraId="1584BF59" w14:textId="77777777" w:rsidR="003C3534" w:rsidRPr="00062080" w:rsidRDefault="003C3534" w:rsidP="003C3534">
      <w:pPr>
        <w:ind w:right="89"/>
        <w:rPr>
          <w:rFonts w:ascii="Cambria" w:hAnsi="Cambria"/>
          <w:i/>
          <w:sz w:val="22"/>
          <w:szCs w:val="22"/>
        </w:rPr>
      </w:pPr>
    </w:p>
    <w:p w14:paraId="20AD6757" w14:textId="0DBC9076" w:rsidR="003C3534" w:rsidRPr="00A01DA7" w:rsidRDefault="003C3534" w:rsidP="003C3534">
      <w:pPr>
        <w:pStyle w:val="BodyA"/>
        <w:jc w:val="right"/>
        <w:rPr>
          <w:rFonts w:ascii="Cambria" w:eastAsiaTheme="minorHAnsi" w:hAnsi="Cambria" w:cstheme="minorHAnsi"/>
          <w:b/>
          <w:color w:val="auto"/>
          <w:bdr w:val="none" w:sz="0" w:space="0" w:color="auto"/>
          <w:lang w:eastAsia="en-US"/>
        </w:rPr>
      </w:pPr>
      <w:r>
        <w:rPr>
          <w:rFonts w:ascii="Cambria" w:eastAsiaTheme="minorHAnsi" w:hAnsi="Cambria" w:cstheme="minorHAnsi"/>
          <w:b/>
          <w:color w:val="auto"/>
          <w:bdr w:val="none" w:sz="0" w:space="0" w:color="auto"/>
          <w:lang w:eastAsia="en-US"/>
        </w:rPr>
        <w:t>3</w:t>
      </w:r>
      <w:r w:rsidRPr="00A01DA7">
        <w:rPr>
          <w:rFonts w:ascii="Cambria" w:eastAsiaTheme="minorHAnsi" w:hAnsi="Cambria" w:cstheme="minorHAnsi"/>
          <w:b/>
          <w:color w:val="auto"/>
          <w:bdr w:val="none" w:sz="0" w:space="0" w:color="auto"/>
          <w:lang w:eastAsia="en-US"/>
        </w:rPr>
        <w:t xml:space="preserve"> </w:t>
      </w:r>
      <w:r>
        <w:rPr>
          <w:rFonts w:ascii="Cambria" w:eastAsiaTheme="minorHAnsi" w:hAnsi="Cambria" w:cstheme="minorHAnsi"/>
          <w:b/>
          <w:color w:val="auto"/>
          <w:bdr w:val="none" w:sz="0" w:space="0" w:color="auto"/>
          <w:lang w:eastAsia="en-US"/>
        </w:rPr>
        <w:t>juli</w:t>
      </w:r>
      <w:r w:rsidRPr="00A01DA7">
        <w:rPr>
          <w:rFonts w:ascii="Cambria" w:eastAsiaTheme="minorHAnsi" w:hAnsi="Cambria" w:cstheme="minorHAnsi"/>
          <w:b/>
          <w:color w:val="auto"/>
          <w:bdr w:val="none" w:sz="0" w:space="0" w:color="auto"/>
          <w:lang w:eastAsia="en-US"/>
        </w:rPr>
        <w:t xml:space="preserve"> 20</w:t>
      </w:r>
      <w:r>
        <w:rPr>
          <w:rFonts w:ascii="Cambria" w:eastAsiaTheme="minorHAnsi" w:hAnsi="Cambria" w:cstheme="minorHAnsi"/>
          <w:b/>
          <w:color w:val="auto"/>
          <w:bdr w:val="none" w:sz="0" w:space="0" w:color="auto"/>
          <w:lang w:eastAsia="en-US"/>
        </w:rPr>
        <w:t>20</w:t>
      </w:r>
    </w:p>
    <w:p w14:paraId="37623C50" w14:textId="77777777" w:rsidR="003C3534" w:rsidRPr="00A01DA7" w:rsidRDefault="003C3534" w:rsidP="003C3534">
      <w:pPr>
        <w:pStyle w:val="BodyA"/>
        <w:rPr>
          <w:rFonts w:ascii="Cambria" w:eastAsiaTheme="minorHAnsi" w:hAnsi="Cambria" w:cstheme="minorHAnsi"/>
          <w:b/>
          <w:color w:val="auto"/>
          <w:bdr w:val="none" w:sz="0" w:space="0" w:color="auto"/>
          <w:lang w:eastAsia="en-US"/>
        </w:rPr>
      </w:pPr>
    </w:p>
    <w:p w14:paraId="4EB09C62" w14:textId="77777777" w:rsidR="003C3534" w:rsidRDefault="003C3534" w:rsidP="003C3534">
      <w:pPr>
        <w:rPr>
          <w:rFonts w:ascii="Cambria" w:eastAsiaTheme="minorHAnsi" w:hAnsi="Cambria" w:cstheme="minorHAnsi"/>
          <w:b/>
          <w:i/>
          <w:sz w:val="22"/>
          <w:szCs w:val="22"/>
        </w:rPr>
      </w:pPr>
      <w:r w:rsidRPr="00A01DA7">
        <w:rPr>
          <w:rFonts w:ascii="Cambria" w:eastAsiaTheme="minorHAnsi" w:hAnsi="Cambria" w:cstheme="minorHAnsi"/>
          <w:b/>
          <w:i/>
          <w:sz w:val="22"/>
          <w:szCs w:val="22"/>
        </w:rPr>
        <w:t>Registrering innebär nytt antal aktier i Bolaget</w:t>
      </w:r>
    </w:p>
    <w:p w14:paraId="686C34D7" w14:textId="77777777" w:rsidR="003C3534" w:rsidRPr="00A01DA7" w:rsidRDefault="003C3534" w:rsidP="003C3534">
      <w:pPr>
        <w:rPr>
          <w:rFonts w:ascii="Cambria" w:hAnsi="Cambria" w:cstheme="minorHAnsi"/>
          <w:sz w:val="22"/>
          <w:szCs w:val="22"/>
        </w:rPr>
      </w:pPr>
    </w:p>
    <w:p w14:paraId="0EBD3926" w14:textId="34E700B2" w:rsidR="0060189E" w:rsidRDefault="003C3534" w:rsidP="0060189E">
      <w:pPr>
        <w:ind w:right="91"/>
        <w:rPr>
          <w:rFonts w:ascii="Cambria" w:hAnsi="Cambria"/>
          <w:sz w:val="22"/>
          <w:szCs w:val="22"/>
        </w:rPr>
      </w:pPr>
      <w:r>
        <w:rPr>
          <w:rFonts w:ascii="Cambria" w:hAnsi="Cambria"/>
          <w:sz w:val="22"/>
          <w:szCs w:val="22"/>
        </w:rPr>
        <w:t>D</w:t>
      </w:r>
      <w:r w:rsidRPr="00A01DA7">
        <w:rPr>
          <w:rFonts w:ascii="Cambria" w:hAnsi="Cambria"/>
          <w:sz w:val="22"/>
          <w:szCs w:val="22"/>
        </w:rPr>
        <w:t>et totala antalet aktier</w:t>
      </w:r>
      <w:r>
        <w:rPr>
          <w:rFonts w:ascii="Cambria" w:hAnsi="Cambria"/>
          <w:sz w:val="22"/>
          <w:szCs w:val="22"/>
        </w:rPr>
        <w:t xml:space="preserve"> i Nickel Mountain Resources AB (publ) (”Bolaget”) har</w:t>
      </w:r>
      <w:r w:rsidRPr="00A01DA7">
        <w:rPr>
          <w:rFonts w:ascii="Cambria" w:hAnsi="Cambria"/>
          <w:sz w:val="22"/>
          <w:szCs w:val="22"/>
        </w:rPr>
        <w:t xml:space="preserve"> ökat med </w:t>
      </w:r>
      <w:r>
        <w:rPr>
          <w:rFonts w:ascii="Cambria" w:hAnsi="Cambria"/>
          <w:sz w:val="22"/>
          <w:szCs w:val="22"/>
        </w:rPr>
        <w:t xml:space="preserve">10 211 671 </w:t>
      </w:r>
      <w:r w:rsidRPr="00A01DA7">
        <w:rPr>
          <w:rFonts w:ascii="Cambria" w:hAnsi="Cambria"/>
          <w:sz w:val="22"/>
          <w:szCs w:val="22"/>
        </w:rPr>
        <w:t xml:space="preserve">till </w:t>
      </w:r>
      <w:r>
        <w:rPr>
          <w:rFonts w:ascii="Cambria" w:hAnsi="Cambria"/>
          <w:sz w:val="22"/>
          <w:szCs w:val="22"/>
        </w:rPr>
        <w:t>523</w:t>
      </w:r>
      <w:r w:rsidRPr="00A01DA7">
        <w:rPr>
          <w:rFonts w:ascii="Cambria" w:hAnsi="Cambria"/>
          <w:sz w:val="22"/>
          <w:szCs w:val="22"/>
        </w:rPr>
        <w:t> </w:t>
      </w:r>
      <w:r>
        <w:rPr>
          <w:rFonts w:ascii="Cambria" w:hAnsi="Cambria"/>
          <w:sz w:val="22"/>
          <w:szCs w:val="22"/>
        </w:rPr>
        <w:t>012</w:t>
      </w:r>
      <w:r w:rsidRPr="00A01DA7">
        <w:rPr>
          <w:rFonts w:ascii="Cambria" w:hAnsi="Cambria"/>
          <w:sz w:val="22"/>
          <w:szCs w:val="22"/>
        </w:rPr>
        <w:t> </w:t>
      </w:r>
      <w:r>
        <w:rPr>
          <w:rFonts w:ascii="Cambria" w:hAnsi="Cambria"/>
          <w:sz w:val="22"/>
          <w:szCs w:val="22"/>
        </w:rPr>
        <w:t>261</w:t>
      </w:r>
      <w:r w:rsidRPr="00A01DA7">
        <w:rPr>
          <w:rFonts w:ascii="Cambria" w:hAnsi="Cambria"/>
          <w:sz w:val="22"/>
          <w:szCs w:val="22"/>
        </w:rPr>
        <w:t xml:space="preserve"> till följd av registrering hos Bolagsverket av </w:t>
      </w:r>
      <w:r>
        <w:rPr>
          <w:rFonts w:ascii="Cambria" w:hAnsi="Cambria"/>
          <w:sz w:val="22"/>
          <w:szCs w:val="22"/>
        </w:rPr>
        <w:t xml:space="preserve">den </w:t>
      </w:r>
      <w:r w:rsidRPr="00A01DA7">
        <w:rPr>
          <w:rFonts w:ascii="Cambria" w:hAnsi="Cambria"/>
          <w:sz w:val="22"/>
          <w:szCs w:val="22"/>
        </w:rPr>
        <w:t xml:space="preserve">per den </w:t>
      </w:r>
      <w:r w:rsidR="0060189E">
        <w:rPr>
          <w:rFonts w:ascii="Cambria" w:hAnsi="Cambria"/>
          <w:sz w:val="22"/>
          <w:szCs w:val="22"/>
        </w:rPr>
        <w:t>2</w:t>
      </w:r>
      <w:r>
        <w:rPr>
          <w:rFonts w:ascii="Cambria" w:hAnsi="Cambria"/>
          <w:sz w:val="22"/>
          <w:szCs w:val="22"/>
        </w:rPr>
        <w:t>9</w:t>
      </w:r>
      <w:r w:rsidRPr="00A01DA7">
        <w:rPr>
          <w:rFonts w:ascii="Cambria" w:hAnsi="Cambria"/>
          <w:sz w:val="22"/>
          <w:szCs w:val="22"/>
        </w:rPr>
        <w:t xml:space="preserve"> </w:t>
      </w:r>
      <w:r w:rsidR="0060189E">
        <w:rPr>
          <w:rFonts w:ascii="Cambria" w:hAnsi="Cambria"/>
          <w:sz w:val="22"/>
          <w:szCs w:val="22"/>
        </w:rPr>
        <w:t>juni</w:t>
      </w:r>
      <w:r w:rsidRPr="00A01DA7">
        <w:rPr>
          <w:rFonts w:ascii="Cambria" w:hAnsi="Cambria"/>
          <w:sz w:val="22"/>
          <w:szCs w:val="22"/>
        </w:rPr>
        <w:t xml:space="preserve"> 20</w:t>
      </w:r>
      <w:r>
        <w:rPr>
          <w:rFonts w:ascii="Cambria" w:hAnsi="Cambria"/>
          <w:sz w:val="22"/>
          <w:szCs w:val="22"/>
        </w:rPr>
        <w:t>20</w:t>
      </w:r>
      <w:r w:rsidRPr="00A01DA7">
        <w:rPr>
          <w:rFonts w:ascii="Cambria" w:hAnsi="Cambria"/>
          <w:sz w:val="22"/>
          <w:szCs w:val="22"/>
        </w:rPr>
        <w:t xml:space="preserve"> </w:t>
      </w:r>
      <w:r w:rsidR="009D7E86">
        <w:rPr>
          <w:rFonts w:ascii="Cambria" w:hAnsi="Cambria"/>
          <w:sz w:val="22"/>
          <w:szCs w:val="22"/>
        </w:rPr>
        <w:t xml:space="preserve">av styrelsen (med stöd av bemyndigande från extra bolagsstämma 3 april 2020) </w:t>
      </w:r>
      <w:r>
        <w:rPr>
          <w:rFonts w:ascii="Cambria" w:hAnsi="Cambria"/>
          <w:sz w:val="22"/>
          <w:szCs w:val="22"/>
        </w:rPr>
        <w:t xml:space="preserve">beslutade riktade </w:t>
      </w:r>
      <w:r w:rsidR="009D7E86">
        <w:rPr>
          <w:rFonts w:ascii="Cambria" w:hAnsi="Cambria"/>
          <w:sz w:val="22"/>
          <w:szCs w:val="22"/>
        </w:rPr>
        <w:t>kvittnings</w:t>
      </w:r>
      <w:r>
        <w:rPr>
          <w:rFonts w:ascii="Cambria" w:hAnsi="Cambria"/>
          <w:sz w:val="22"/>
          <w:szCs w:val="22"/>
        </w:rPr>
        <w:t xml:space="preserve">emissionen </w:t>
      </w:r>
      <w:r w:rsidR="0060189E">
        <w:rPr>
          <w:rFonts w:ascii="Cambria" w:hAnsi="Cambria"/>
          <w:sz w:val="22"/>
          <w:szCs w:val="22"/>
        </w:rPr>
        <w:t>till Crafoord Capital Partners AB</w:t>
      </w:r>
      <w:r w:rsidRPr="00A01DA7">
        <w:rPr>
          <w:rFonts w:ascii="Cambria" w:hAnsi="Cambria"/>
          <w:sz w:val="22"/>
          <w:szCs w:val="22"/>
        </w:rPr>
        <w:t xml:space="preserve">. </w:t>
      </w:r>
    </w:p>
    <w:p w14:paraId="4164535E" w14:textId="295721ED" w:rsidR="003C3534" w:rsidRPr="0060189E" w:rsidRDefault="003C3534" w:rsidP="0060189E">
      <w:pPr>
        <w:ind w:right="91"/>
        <w:rPr>
          <w:rFonts w:ascii="Cambria" w:hAnsi="Cambria"/>
          <w:sz w:val="22"/>
          <w:szCs w:val="22"/>
        </w:rPr>
      </w:pPr>
      <w:r w:rsidRPr="0038542C">
        <w:rPr>
          <w:rFonts w:ascii="Cambria" w:hAnsi="Cambria" w:cs="Arial"/>
        </w:rPr>
        <w:t xml:space="preserve"> </w:t>
      </w:r>
    </w:p>
    <w:p w14:paraId="40DF0F0C" w14:textId="162D27E7" w:rsidR="003C3534" w:rsidRDefault="003C3534" w:rsidP="003C3534">
      <w:pPr>
        <w:ind w:right="91"/>
        <w:rPr>
          <w:rFonts w:ascii="Cambria" w:hAnsi="Cambria"/>
          <w:sz w:val="22"/>
          <w:szCs w:val="22"/>
        </w:rPr>
      </w:pPr>
      <w:r w:rsidRPr="0038542C">
        <w:rPr>
          <w:rFonts w:ascii="Cambria" w:hAnsi="Cambria"/>
          <w:sz w:val="22"/>
          <w:szCs w:val="22"/>
        </w:rPr>
        <w:t xml:space="preserve">Samtliga aktier i Bolaget är av samma slag. Aktiekapitalet ökade med </w:t>
      </w:r>
      <w:r w:rsidR="0060189E">
        <w:rPr>
          <w:rFonts w:ascii="Cambria" w:hAnsi="Cambria"/>
          <w:sz w:val="22"/>
          <w:szCs w:val="22"/>
        </w:rPr>
        <w:t>1</w:t>
      </w:r>
      <w:r w:rsidR="009D7E86">
        <w:rPr>
          <w:rFonts w:ascii="Cambria" w:hAnsi="Cambria"/>
          <w:sz w:val="22"/>
          <w:szCs w:val="22"/>
        </w:rPr>
        <w:t> </w:t>
      </w:r>
      <w:r w:rsidR="0060189E">
        <w:rPr>
          <w:rFonts w:ascii="Cambria" w:hAnsi="Cambria"/>
          <w:sz w:val="22"/>
          <w:szCs w:val="22"/>
        </w:rPr>
        <w:t>021</w:t>
      </w:r>
      <w:r w:rsidR="009D7E86">
        <w:rPr>
          <w:rFonts w:ascii="Cambria" w:hAnsi="Cambria"/>
          <w:sz w:val="22"/>
          <w:szCs w:val="22"/>
        </w:rPr>
        <w:t> 167,10</w:t>
      </w:r>
      <w:r w:rsidRPr="0038542C">
        <w:rPr>
          <w:rFonts w:ascii="Cambria" w:hAnsi="Cambria"/>
          <w:sz w:val="22"/>
          <w:szCs w:val="22"/>
        </w:rPr>
        <w:t xml:space="preserve"> kronor till</w:t>
      </w:r>
      <w:r w:rsidRPr="00062080">
        <w:rPr>
          <w:rFonts w:ascii="Cambria" w:hAnsi="Cambria"/>
          <w:sz w:val="22"/>
          <w:szCs w:val="22"/>
        </w:rPr>
        <w:t xml:space="preserve"> </w:t>
      </w:r>
      <w:r>
        <w:rPr>
          <w:rFonts w:ascii="Cambria" w:hAnsi="Cambria"/>
          <w:sz w:val="22"/>
          <w:szCs w:val="22"/>
        </w:rPr>
        <w:t>5</w:t>
      </w:r>
      <w:r w:rsidR="009D7E86">
        <w:rPr>
          <w:rFonts w:ascii="Cambria" w:hAnsi="Cambria"/>
          <w:sz w:val="22"/>
          <w:szCs w:val="22"/>
        </w:rPr>
        <w:t>2</w:t>
      </w:r>
      <w:r w:rsidRPr="00062080">
        <w:rPr>
          <w:rFonts w:ascii="Cambria" w:hAnsi="Cambria"/>
          <w:sz w:val="22"/>
          <w:szCs w:val="22"/>
        </w:rPr>
        <w:t> </w:t>
      </w:r>
      <w:r w:rsidR="009D7E86">
        <w:rPr>
          <w:rFonts w:ascii="Cambria" w:hAnsi="Cambria"/>
          <w:sz w:val="22"/>
          <w:szCs w:val="22"/>
        </w:rPr>
        <w:t>301 226,10</w:t>
      </w:r>
      <w:r w:rsidRPr="00062080">
        <w:rPr>
          <w:rFonts w:ascii="Cambria" w:hAnsi="Cambria"/>
          <w:sz w:val="22"/>
          <w:szCs w:val="22"/>
        </w:rPr>
        <w:t xml:space="preserve"> kronor.</w:t>
      </w:r>
    </w:p>
    <w:p w14:paraId="5D6079FF" w14:textId="59350480" w:rsidR="00FB33F5" w:rsidRDefault="00FB33F5" w:rsidP="003C3534">
      <w:pPr>
        <w:ind w:right="91"/>
        <w:rPr>
          <w:rFonts w:ascii="Cambria" w:hAnsi="Cambria"/>
          <w:sz w:val="22"/>
          <w:szCs w:val="22"/>
        </w:rPr>
      </w:pPr>
    </w:p>
    <w:p w14:paraId="0576A327" w14:textId="30819ED0" w:rsidR="00FB33F5" w:rsidRDefault="00FB33F5" w:rsidP="00FB33F5">
      <w:pPr>
        <w:rPr>
          <w:rFonts w:ascii="Cambria" w:eastAsiaTheme="minorHAnsi" w:hAnsi="Cambria" w:cs="Calibri"/>
          <w:sz w:val="22"/>
          <w:szCs w:val="22"/>
        </w:rPr>
      </w:pPr>
      <w:r>
        <w:rPr>
          <w:rFonts w:ascii="Cambria" w:hAnsi="Cambria"/>
          <w:sz w:val="22"/>
          <w:szCs w:val="22"/>
        </w:rPr>
        <w:t xml:space="preserve">Vidare registrerades </w:t>
      </w:r>
      <w:r>
        <w:rPr>
          <w:rFonts w:ascii="Cambria" w:eastAsiaTheme="minorHAnsi" w:hAnsi="Cambria" w:cs="Calibri"/>
          <w:sz w:val="22"/>
          <w:szCs w:val="22"/>
        </w:rPr>
        <w:t xml:space="preserve">de samtidigt, till samma tecknare, utgivna </w:t>
      </w:r>
      <w:r w:rsidRPr="003A43DD">
        <w:rPr>
          <w:rFonts w:ascii="Cambria" w:eastAsiaTheme="minorHAnsi" w:hAnsi="Cambria" w:cs="Calibri"/>
          <w:sz w:val="22"/>
          <w:szCs w:val="22"/>
        </w:rPr>
        <w:t>44 000 000 teckningsoptioner</w:t>
      </w:r>
      <w:r>
        <w:rPr>
          <w:rFonts w:ascii="Cambria" w:eastAsiaTheme="minorHAnsi" w:hAnsi="Cambria" w:cs="Calibri"/>
          <w:sz w:val="22"/>
          <w:szCs w:val="22"/>
        </w:rPr>
        <w:t xml:space="preserve">na som </w:t>
      </w:r>
      <w:r w:rsidRPr="003A43DD">
        <w:rPr>
          <w:rFonts w:ascii="Cambria" w:eastAsiaTheme="minorHAnsi" w:hAnsi="Cambria" w:cs="Calibri"/>
          <w:sz w:val="22"/>
          <w:szCs w:val="22"/>
        </w:rPr>
        <w:t xml:space="preserve"> berättiga</w:t>
      </w:r>
      <w:r>
        <w:rPr>
          <w:rFonts w:ascii="Cambria" w:eastAsiaTheme="minorHAnsi" w:hAnsi="Cambria" w:cs="Calibri"/>
          <w:sz w:val="22"/>
          <w:szCs w:val="22"/>
        </w:rPr>
        <w:t>r</w:t>
      </w:r>
      <w:r w:rsidRPr="003A43DD">
        <w:rPr>
          <w:rFonts w:ascii="Cambria" w:eastAsiaTheme="minorHAnsi" w:hAnsi="Cambria" w:cs="Calibri"/>
          <w:sz w:val="22"/>
          <w:szCs w:val="22"/>
        </w:rPr>
        <w:t xml:space="preserve"> till</w:t>
      </w:r>
      <w:r>
        <w:rPr>
          <w:rFonts w:ascii="Cambria" w:eastAsiaTheme="minorHAnsi" w:hAnsi="Cambria" w:cs="Calibri"/>
          <w:sz w:val="22"/>
          <w:szCs w:val="22"/>
        </w:rPr>
        <w:t xml:space="preserve"> </w:t>
      </w:r>
      <w:r w:rsidRPr="003A43DD">
        <w:rPr>
          <w:rFonts w:ascii="Cambria" w:eastAsiaTheme="minorHAnsi" w:hAnsi="Cambria" w:cs="Calibri"/>
          <w:sz w:val="22"/>
          <w:szCs w:val="22"/>
        </w:rPr>
        <w:t xml:space="preserve">teckning av högst 44 000 000 aktier i </w:t>
      </w:r>
      <w:r>
        <w:rPr>
          <w:rFonts w:ascii="Cambria" w:eastAsiaTheme="minorHAnsi" w:hAnsi="Cambria" w:cs="Calibri"/>
          <w:sz w:val="22"/>
          <w:szCs w:val="22"/>
        </w:rPr>
        <w:t>B</w:t>
      </w:r>
      <w:r w:rsidRPr="003A43DD">
        <w:rPr>
          <w:rFonts w:ascii="Cambria" w:eastAsiaTheme="minorHAnsi" w:hAnsi="Cambria" w:cs="Calibri"/>
          <w:sz w:val="22"/>
          <w:szCs w:val="22"/>
        </w:rPr>
        <w:t>olaget varmed aktiekapitalet kan komma att öka med</w:t>
      </w:r>
      <w:r>
        <w:rPr>
          <w:rFonts w:ascii="Cambria" w:eastAsiaTheme="minorHAnsi" w:hAnsi="Cambria" w:cs="Calibri"/>
          <w:sz w:val="22"/>
          <w:szCs w:val="22"/>
        </w:rPr>
        <w:t xml:space="preserve"> </w:t>
      </w:r>
      <w:r w:rsidRPr="003A43DD">
        <w:rPr>
          <w:rFonts w:ascii="Cambria" w:eastAsiaTheme="minorHAnsi" w:hAnsi="Cambria" w:cs="Calibri"/>
          <w:sz w:val="22"/>
          <w:szCs w:val="22"/>
        </w:rPr>
        <w:t>högst 4 400 000 SEK.</w:t>
      </w:r>
      <w:r>
        <w:rPr>
          <w:rFonts w:ascii="Cambria" w:eastAsiaTheme="minorHAnsi" w:hAnsi="Cambria" w:cs="Calibri"/>
          <w:sz w:val="22"/>
          <w:szCs w:val="22"/>
        </w:rPr>
        <w:t xml:space="preserve"> </w:t>
      </w:r>
      <w:r w:rsidRPr="003A43DD">
        <w:rPr>
          <w:rFonts w:ascii="Cambria" w:eastAsiaTheme="minorHAnsi" w:hAnsi="Cambria" w:cs="Calibri"/>
          <w:sz w:val="22"/>
          <w:szCs w:val="22"/>
        </w:rPr>
        <w:t xml:space="preserve">En (1) Teckningsoption berättigar till teckning av en (1) ny aktie i </w:t>
      </w:r>
      <w:r>
        <w:rPr>
          <w:rFonts w:ascii="Cambria" w:eastAsiaTheme="minorHAnsi" w:hAnsi="Cambria" w:cs="Calibri"/>
          <w:sz w:val="22"/>
          <w:szCs w:val="22"/>
        </w:rPr>
        <w:t>B</w:t>
      </w:r>
      <w:r w:rsidRPr="003A43DD">
        <w:rPr>
          <w:rFonts w:ascii="Cambria" w:eastAsiaTheme="minorHAnsi" w:hAnsi="Cambria" w:cs="Calibri"/>
          <w:sz w:val="22"/>
          <w:szCs w:val="22"/>
        </w:rPr>
        <w:t>olaget till en</w:t>
      </w:r>
      <w:r>
        <w:rPr>
          <w:rFonts w:ascii="Cambria" w:eastAsiaTheme="minorHAnsi" w:hAnsi="Cambria" w:cs="Calibri"/>
          <w:sz w:val="22"/>
          <w:szCs w:val="22"/>
        </w:rPr>
        <w:t xml:space="preserve"> </w:t>
      </w:r>
      <w:r w:rsidRPr="003A43DD">
        <w:rPr>
          <w:rFonts w:ascii="Cambria" w:eastAsiaTheme="minorHAnsi" w:hAnsi="Cambria" w:cs="Calibri"/>
          <w:sz w:val="22"/>
          <w:szCs w:val="22"/>
        </w:rPr>
        <w:t xml:space="preserve">teckningskurs om 0,35 SEK per aktie. Teckning av aktier i </w:t>
      </w:r>
      <w:r>
        <w:rPr>
          <w:rFonts w:ascii="Cambria" w:eastAsiaTheme="minorHAnsi" w:hAnsi="Cambria" w:cs="Calibri"/>
          <w:sz w:val="22"/>
          <w:szCs w:val="22"/>
        </w:rPr>
        <w:t>B</w:t>
      </w:r>
      <w:r w:rsidRPr="003A43DD">
        <w:rPr>
          <w:rFonts w:ascii="Cambria" w:eastAsiaTheme="minorHAnsi" w:hAnsi="Cambria" w:cs="Calibri"/>
          <w:sz w:val="22"/>
          <w:szCs w:val="22"/>
        </w:rPr>
        <w:t>olaget med stöd av</w:t>
      </w:r>
      <w:r>
        <w:rPr>
          <w:rFonts w:ascii="Cambria" w:eastAsiaTheme="minorHAnsi" w:hAnsi="Cambria" w:cs="Calibri"/>
          <w:sz w:val="22"/>
          <w:szCs w:val="22"/>
        </w:rPr>
        <w:t xml:space="preserve"> </w:t>
      </w:r>
      <w:r w:rsidRPr="003A43DD">
        <w:rPr>
          <w:rFonts w:ascii="Cambria" w:eastAsiaTheme="minorHAnsi" w:hAnsi="Cambria" w:cs="Calibri"/>
          <w:sz w:val="22"/>
          <w:szCs w:val="22"/>
        </w:rPr>
        <w:t>Teckningsoptioner kan äga rum under perioden 2020-07-01 – 2022-06-30.</w:t>
      </w:r>
      <w:r>
        <w:rPr>
          <w:rFonts w:ascii="Cambria" w:eastAsiaTheme="minorHAnsi" w:hAnsi="Cambria" w:cs="Calibri"/>
          <w:sz w:val="22"/>
          <w:szCs w:val="22"/>
        </w:rPr>
        <w:t xml:space="preserve"> </w:t>
      </w:r>
    </w:p>
    <w:p w14:paraId="61FA8CAC" w14:textId="335DB05D" w:rsidR="00FB33F5" w:rsidRPr="00062080" w:rsidRDefault="00FB33F5" w:rsidP="003C3534">
      <w:pPr>
        <w:ind w:right="91"/>
        <w:rPr>
          <w:rFonts w:ascii="Cambria" w:hAnsi="Cambria"/>
          <w:sz w:val="22"/>
          <w:szCs w:val="22"/>
        </w:rPr>
      </w:pPr>
    </w:p>
    <w:p w14:paraId="4851074A" w14:textId="77777777" w:rsidR="003C3534" w:rsidRPr="00A01DA7" w:rsidRDefault="003C3534" w:rsidP="003C3534">
      <w:pPr>
        <w:ind w:right="91"/>
        <w:rPr>
          <w:rFonts w:ascii="Cambria" w:hAnsi="Cambria"/>
          <w:sz w:val="22"/>
          <w:szCs w:val="22"/>
        </w:rPr>
      </w:pPr>
    </w:p>
    <w:p w14:paraId="67918A1B" w14:textId="77777777" w:rsidR="003C3534" w:rsidRPr="00A01DA7" w:rsidRDefault="003C3534" w:rsidP="003C3534">
      <w:pPr>
        <w:ind w:right="91"/>
        <w:rPr>
          <w:rFonts w:ascii="Cambria" w:hAnsi="Cambria"/>
          <w:sz w:val="22"/>
          <w:szCs w:val="22"/>
        </w:rPr>
      </w:pPr>
      <w:r w:rsidRPr="00A01DA7">
        <w:rPr>
          <w:rFonts w:ascii="Cambria" w:hAnsi="Cambria"/>
          <w:sz w:val="22"/>
          <w:szCs w:val="22"/>
        </w:rPr>
        <w:t>Styrelsen</w:t>
      </w:r>
    </w:p>
    <w:p w14:paraId="556C210C" w14:textId="77777777" w:rsidR="003C3534" w:rsidRPr="00A01DA7" w:rsidRDefault="003C3534" w:rsidP="003C3534">
      <w:pPr>
        <w:rPr>
          <w:rFonts w:ascii="Cambria" w:eastAsiaTheme="minorHAnsi" w:hAnsi="Cambria" w:cs="Calibri"/>
          <w:sz w:val="22"/>
          <w:szCs w:val="22"/>
        </w:rPr>
      </w:pPr>
    </w:p>
    <w:p w14:paraId="303CB123" w14:textId="77777777" w:rsidR="003C3534" w:rsidRPr="006303B5" w:rsidRDefault="003C3534" w:rsidP="003C3534">
      <w:pPr>
        <w:ind w:right="91"/>
        <w:rPr>
          <w:rFonts w:ascii="Cambria" w:eastAsiaTheme="minorHAnsi" w:hAnsi="Cambria" w:cs="Calibri"/>
          <w:sz w:val="22"/>
          <w:szCs w:val="22"/>
        </w:rPr>
      </w:pPr>
      <w:r w:rsidRPr="006303B5">
        <w:rPr>
          <w:rFonts w:ascii="Cambria" w:eastAsiaTheme="minorHAnsi" w:hAnsi="Cambria" w:cs="Calibri"/>
          <w:sz w:val="22"/>
          <w:szCs w:val="22"/>
        </w:rPr>
        <w:t xml:space="preserve">För mer information kontakta Anders Thorsell, VD, via telefon eller epost. </w:t>
      </w:r>
    </w:p>
    <w:p w14:paraId="23645526" w14:textId="77777777" w:rsidR="003C3534" w:rsidRPr="00E61258" w:rsidRDefault="003C3534" w:rsidP="003C3534">
      <w:pPr>
        <w:ind w:right="91"/>
        <w:rPr>
          <w:rFonts w:ascii="Cambria" w:eastAsiaTheme="minorHAnsi" w:hAnsi="Cambria" w:cs="Calibri"/>
          <w:sz w:val="22"/>
          <w:szCs w:val="22"/>
          <w:lang w:val="en-GB"/>
        </w:rPr>
      </w:pPr>
      <w:r w:rsidRPr="00E61258">
        <w:rPr>
          <w:rFonts w:ascii="Cambria" w:eastAsiaTheme="minorHAnsi" w:hAnsi="Cambria" w:cs="Calibri"/>
          <w:sz w:val="22"/>
          <w:szCs w:val="22"/>
          <w:lang w:val="en-GB"/>
        </w:rPr>
        <w:t>Anders Thorsell:</w:t>
      </w:r>
    </w:p>
    <w:p w14:paraId="5B234694" w14:textId="77777777" w:rsidR="003C3534" w:rsidRPr="00E61258" w:rsidRDefault="003C3534" w:rsidP="003C3534">
      <w:pPr>
        <w:ind w:right="91"/>
        <w:rPr>
          <w:rFonts w:ascii="Cambria" w:eastAsiaTheme="minorHAnsi" w:hAnsi="Cambria" w:cs="Calibri"/>
          <w:sz w:val="22"/>
          <w:szCs w:val="22"/>
          <w:lang w:val="en-GB"/>
        </w:rPr>
      </w:pPr>
      <w:proofErr w:type="spellStart"/>
      <w:r w:rsidRPr="00E61258">
        <w:rPr>
          <w:rFonts w:ascii="Cambria" w:eastAsiaTheme="minorHAnsi" w:hAnsi="Cambria" w:cs="Calibri"/>
          <w:sz w:val="22"/>
          <w:szCs w:val="22"/>
          <w:lang w:val="en-GB"/>
        </w:rPr>
        <w:t>Telefon</w:t>
      </w:r>
      <w:proofErr w:type="spellEnd"/>
      <w:r w:rsidRPr="00E61258">
        <w:rPr>
          <w:rFonts w:ascii="Cambria" w:eastAsiaTheme="minorHAnsi" w:hAnsi="Cambria" w:cs="Calibri"/>
          <w:sz w:val="22"/>
          <w:szCs w:val="22"/>
          <w:lang w:val="en-GB"/>
        </w:rPr>
        <w:t xml:space="preserve"> 0707732045</w:t>
      </w:r>
    </w:p>
    <w:p w14:paraId="7357894F" w14:textId="77777777" w:rsidR="003C3534" w:rsidRPr="00E61258" w:rsidRDefault="003C3534" w:rsidP="003C3534">
      <w:pPr>
        <w:ind w:right="91"/>
        <w:rPr>
          <w:rFonts w:ascii="Cambria" w:eastAsiaTheme="minorHAnsi" w:hAnsi="Cambria" w:cs="Calibri"/>
          <w:sz w:val="22"/>
          <w:szCs w:val="22"/>
          <w:lang w:val="en-GB"/>
        </w:rPr>
      </w:pPr>
      <w:r w:rsidRPr="00E61258">
        <w:rPr>
          <w:rFonts w:ascii="Cambria" w:eastAsiaTheme="minorHAnsi" w:hAnsi="Cambria" w:cs="Calibri"/>
          <w:sz w:val="22"/>
          <w:szCs w:val="22"/>
          <w:lang w:val="en-GB"/>
        </w:rPr>
        <w:t>Anders@nickelmountain.se</w:t>
      </w:r>
    </w:p>
    <w:p w14:paraId="52780BFD" w14:textId="77777777" w:rsidR="00A1573C" w:rsidRPr="00E61258" w:rsidRDefault="00A1573C" w:rsidP="00A1573C">
      <w:pPr>
        <w:rPr>
          <w:rFonts w:ascii="Cambria" w:eastAsiaTheme="minorHAnsi" w:hAnsi="Cambria" w:cs="Calibri"/>
          <w:sz w:val="22"/>
          <w:szCs w:val="22"/>
          <w:lang w:val="en-GB"/>
        </w:rPr>
      </w:pPr>
    </w:p>
    <w:p w14:paraId="6270C2BF" w14:textId="77777777" w:rsidR="00A1573C" w:rsidRPr="006303B5" w:rsidRDefault="00A1573C" w:rsidP="00A1573C">
      <w:pPr>
        <w:rPr>
          <w:rFonts w:ascii="Cambria" w:hAnsi="Cambria"/>
          <w:i/>
          <w:sz w:val="22"/>
          <w:szCs w:val="22"/>
          <w:lang w:val="en-GB"/>
        </w:rPr>
      </w:pPr>
    </w:p>
    <w:p w14:paraId="1AEC116D" w14:textId="572F7D5D" w:rsidR="00A1573C" w:rsidRPr="006303B5" w:rsidRDefault="00A1573C" w:rsidP="00A1573C">
      <w:pPr>
        <w:rPr>
          <w:rFonts w:ascii="Cambria" w:hAnsi="Cambria"/>
          <w:i/>
          <w:sz w:val="22"/>
          <w:szCs w:val="22"/>
        </w:rPr>
      </w:pPr>
      <w:r w:rsidRPr="006303B5">
        <w:rPr>
          <w:rFonts w:ascii="Cambria" w:hAnsi="Cambria"/>
          <w:i/>
          <w:sz w:val="22"/>
          <w:szCs w:val="22"/>
        </w:rPr>
        <w:t xml:space="preserve">Denna information är insiderinformation som Nickel Mountain Resources AB är skyldig att offentliggöra enligt EU:s marknadsmissbruksförordning. Informationen lämnades genom </w:t>
      </w:r>
      <w:r w:rsidRPr="001253C3">
        <w:rPr>
          <w:rFonts w:ascii="Cambria" w:hAnsi="Cambria"/>
          <w:i/>
          <w:sz w:val="22"/>
          <w:szCs w:val="22"/>
        </w:rPr>
        <w:t xml:space="preserve">ovanstående kontaktpersons försorg för offentliggörande den </w:t>
      </w:r>
      <w:r w:rsidR="008B33F9">
        <w:rPr>
          <w:rFonts w:ascii="Cambria" w:hAnsi="Cambria"/>
          <w:i/>
          <w:sz w:val="22"/>
          <w:szCs w:val="22"/>
        </w:rPr>
        <w:t>3</w:t>
      </w:r>
      <w:r w:rsidRPr="001253C3">
        <w:rPr>
          <w:rFonts w:ascii="Cambria" w:hAnsi="Cambria"/>
          <w:i/>
          <w:sz w:val="22"/>
          <w:szCs w:val="22"/>
        </w:rPr>
        <w:t xml:space="preserve"> </w:t>
      </w:r>
      <w:r w:rsidR="004E254F">
        <w:rPr>
          <w:rFonts w:ascii="Cambria" w:hAnsi="Cambria"/>
          <w:i/>
          <w:sz w:val="22"/>
          <w:szCs w:val="22"/>
        </w:rPr>
        <w:t>ju</w:t>
      </w:r>
      <w:r w:rsidR="00F84324">
        <w:rPr>
          <w:rFonts w:ascii="Cambria" w:hAnsi="Cambria"/>
          <w:i/>
          <w:sz w:val="22"/>
          <w:szCs w:val="22"/>
        </w:rPr>
        <w:t>l</w:t>
      </w:r>
      <w:r w:rsidR="004E254F">
        <w:rPr>
          <w:rFonts w:ascii="Cambria" w:hAnsi="Cambria"/>
          <w:i/>
          <w:sz w:val="22"/>
          <w:szCs w:val="22"/>
        </w:rPr>
        <w:t>i</w:t>
      </w:r>
      <w:r w:rsidRPr="001253C3">
        <w:rPr>
          <w:rFonts w:ascii="Cambria" w:hAnsi="Cambria"/>
          <w:i/>
          <w:sz w:val="22"/>
          <w:szCs w:val="22"/>
        </w:rPr>
        <w:t xml:space="preserve"> 2020 </w:t>
      </w:r>
      <w:r w:rsidR="00960126" w:rsidRPr="001253C3">
        <w:rPr>
          <w:rFonts w:ascii="Cambria" w:hAnsi="Cambria"/>
          <w:i/>
          <w:sz w:val="22"/>
          <w:szCs w:val="22"/>
        </w:rPr>
        <w:t>kl.</w:t>
      </w:r>
      <w:r w:rsidRPr="001253C3">
        <w:rPr>
          <w:rFonts w:ascii="Cambria" w:hAnsi="Cambria"/>
          <w:i/>
          <w:sz w:val="22"/>
          <w:szCs w:val="22"/>
        </w:rPr>
        <w:t xml:space="preserve"> </w:t>
      </w:r>
      <w:r w:rsidR="009D7E86">
        <w:rPr>
          <w:rFonts w:ascii="Cambria" w:hAnsi="Cambria"/>
          <w:i/>
          <w:sz w:val="22"/>
          <w:szCs w:val="22"/>
        </w:rPr>
        <w:t>17</w:t>
      </w:r>
      <w:r w:rsidR="00C82351">
        <w:rPr>
          <w:rFonts w:ascii="Cambria" w:hAnsi="Cambria"/>
          <w:i/>
          <w:sz w:val="22"/>
          <w:szCs w:val="22"/>
        </w:rPr>
        <w:t>:</w:t>
      </w:r>
      <w:r w:rsidR="008B33F9">
        <w:rPr>
          <w:rFonts w:ascii="Cambria" w:hAnsi="Cambria"/>
          <w:i/>
          <w:sz w:val="22"/>
          <w:szCs w:val="22"/>
        </w:rPr>
        <w:t>1</w:t>
      </w:r>
      <w:r w:rsidR="009D7E86">
        <w:rPr>
          <w:rFonts w:ascii="Cambria" w:hAnsi="Cambria"/>
          <w:i/>
          <w:sz w:val="22"/>
          <w:szCs w:val="22"/>
        </w:rPr>
        <w:t>5</w:t>
      </w:r>
      <w:r w:rsidRPr="001253C3">
        <w:rPr>
          <w:rFonts w:ascii="Cambria" w:hAnsi="Cambria"/>
          <w:i/>
          <w:sz w:val="22"/>
          <w:szCs w:val="22"/>
        </w:rPr>
        <w:t>.</w:t>
      </w:r>
    </w:p>
    <w:p w14:paraId="6D65359F" w14:textId="77777777" w:rsidR="00A1573C" w:rsidRPr="00062080" w:rsidRDefault="00A1573C" w:rsidP="00A1573C">
      <w:pPr>
        <w:pStyle w:val="Rubrik"/>
        <w:spacing w:before="0" w:after="0" w:line="300" w:lineRule="exact"/>
        <w:jc w:val="left"/>
        <w:rPr>
          <w:rFonts w:ascii="Cambria" w:hAnsi="Cambria" w:cs="Times New Roman"/>
          <w:b w:val="0"/>
          <w:bCs w:val="0"/>
          <w:i/>
          <w:kern w:val="0"/>
          <w:sz w:val="22"/>
          <w:szCs w:val="22"/>
          <w:lang w:val="sv-SE"/>
        </w:rPr>
      </w:pPr>
    </w:p>
    <w:p w14:paraId="5EC70959" w14:textId="3B693DA1" w:rsidR="00A1573C" w:rsidRPr="00062080" w:rsidRDefault="00A1573C" w:rsidP="00A1573C">
      <w:pPr>
        <w:ind w:right="89"/>
        <w:jc w:val="both"/>
        <w:rPr>
          <w:rFonts w:ascii="Cambria" w:hAnsi="Cambria"/>
          <w:i/>
          <w:sz w:val="22"/>
          <w:szCs w:val="22"/>
        </w:rPr>
      </w:pPr>
      <w:r w:rsidRPr="00062080">
        <w:rPr>
          <w:rFonts w:ascii="Cambria" w:hAnsi="Cambria"/>
          <w:i/>
          <w:sz w:val="22"/>
          <w:szCs w:val="22"/>
        </w:rPr>
        <w:t xml:space="preserve">Nickel Mountain Resources är ett oberoende bolag verksamt inom prospektering av primärt olja, gas, nickel och guld. Bolagets förvärvade under 2017 det cypriotiska bolaget Mezhlisa Resources Cyprus Ltd (”Mezhlisa”). Mezhlisa kontrollerar genom det ryska dotterbolaget OOO Bakcharneftegaz (BNG) prospekterings- och produktionslicens </w:t>
      </w:r>
      <w:r w:rsidR="00960126" w:rsidRPr="00062080">
        <w:rPr>
          <w:rFonts w:ascii="Cambria" w:hAnsi="Cambria"/>
          <w:i/>
          <w:sz w:val="22"/>
          <w:szCs w:val="22"/>
        </w:rPr>
        <w:t>71–1</w:t>
      </w:r>
      <w:r w:rsidRPr="00062080">
        <w:rPr>
          <w:rFonts w:ascii="Cambria" w:hAnsi="Cambria"/>
          <w:i/>
          <w:sz w:val="22"/>
          <w:szCs w:val="22"/>
        </w:rPr>
        <w:t xml:space="preserve"> i Tomskregionen i Ryssland. Mezhlisa är per idag registrerad som ägare av 72,3809 procent av BNG. Mezhlisa har därmed tillgång till det prospekterings- och utvärderingsprojekt som BNG förvärvade på publik auktion i augusti 2010, licens </w:t>
      </w:r>
      <w:r w:rsidR="00960126" w:rsidRPr="00062080">
        <w:rPr>
          <w:rFonts w:ascii="Cambria" w:hAnsi="Cambria"/>
          <w:i/>
          <w:sz w:val="22"/>
          <w:szCs w:val="22"/>
        </w:rPr>
        <w:t>71–1</w:t>
      </w:r>
      <w:r w:rsidRPr="00062080">
        <w:rPr>
          <w:rFonts w:ascii="Cambria" w:hAnsi="Cambria"/>
          <w:i/>
          <w:sz w:val="22"/>
          <w:szCs w:val="22"/>
        </w:rPr>
        <w:t xml:space="preserve"> ”Ellej-Igajskoje” i Tomsk Oblast, Ryssland. Bolaget bedriver ett prospekteringsprogram av olja – och gastillgångar på licens </w:t>
      </w:r>
      <w:r w:rsidR="00960126" w:rsidRPr="00062080">
        <w:rPr>
          <w:rFonts w:ascii="Cambria" w:hAnsi="Cambria"/>
          <w:i/>
          <w:sz w:val="22"/>
          <w:szCs w:val="22"/>
        </w:rPr>
        <w:t>71–1</w:t>
      </w:r>
      <w:r w:rsidRPr="00062080">
        <w:rPr>
          <w:rFonts w:ascii="Cambria" w:hAnsi="Cambria"/>
          <w:i/>
          <w:sz w:val="22"/>
          <w:szCs w:val="22"/>
        </w:rPr>
        <w:t xml:space="preserve"> inom vilket Bolaget visat på en betydande potential. </w:t>
      </w:r>
    </w:p>
    <w:p w14:paraId="14BE8D73" w14:textId="747737C1" w:rsidR="00A1573C" w:rsidRPr="00062080" w:rsidRDefault="00A1573C" w:rsidP="00A1573C">
      <w:pPr>
        <w:ind w:right="89"/>
        <w:jc w:val="both"/>
        <w:rPr>
          <w:rFonts w:ascii="Cambria" w:hAnsi="Cambria"/>
          <w:i/>
          <w:sz w:val="22"/>
          <w:szCs w:val="22"/>
        </w:rPr>
      </w:pPr>
      <w:r w:rsidRPr="00062080">
        <w:rPr>
          <w:rFonts w:ascii="Cambria" w:hAnsi="Cambria"/>
          <w:i/>
          <w:sz w:val="22"/>
          <w:szCs w:val="22"/>
        </w:rPr>
        <w:t>Vidare äger Bolaget nickelprojekten Rönnbäcken (som är Europas största kända outvecklade nickeltillgång)</w:t>
      </w:r>
      <w:r>
        <w:rPr>
          <w:rFonts w:ascii="Cambria" w:hAnsi="Cambria"/>
          <w:i/>
          <w:sz w:val="22"/>
          <w:szCs w:val="22"/>
        </w:rPr>
        <w:t xml:space="preserve"> och</w:t>
      </w:r>
      <w:r w:rsidRPr="00062080">
        <w:rPr>
          <w:rFonts w:ascii="Cambria" w:hAnsi="Cambria"/>
          <w:i/>
          <w:sz w:val="22"/>
          <w:szCs w:val="22"/>
        </w:rPr>
        <w:t xml:space="preserve"> Orrbäcken samt </w:t>
      </w:r>
      <w:r>
        <w:rPr>
          <w:rFonts w:ascii="Cambria" w:hAnsi="Cambria"/>
          <w:i/>
          <w:sz w:val="22"/>
          <w:szCs w:val="22"/>
        </w:rPr>
        <w:t xml:space="preserve">guldprojekten Haveri i Finland samt </w:t>
      </w:r>
      <w:r w:rsidRPr="00062080">
        <w:rPr>
          <w:rFonts w:ascii="Cambria" w:hAnsi="Cambria"/>
          <w:i/>
          <w:sz w:val="22"/>
          <w:szCs w:val="22"/>
        </w:rPr>
        <w:t xml:space="preserve">Kattisavan i Sverige. </w:t>
      </w:r>
    </w:p>
    <w:p w14:paraId="6D4540C1" w14:textId="432AC815" w:rsidR="00A1573C" w:rsidRPr="00062080" w:rsidRDefault="00A1573C" w:rsidP="00A1573C">
      <w:pPr>
        <w:ind w:right="89"/>
        <w:jc w:val="both"/>
        <w:rPr>
          <w:rFonts w:ascii="Cambria" w:hAnsi="Cambria"/>
          <w:i/>
          <w:sz w:val="22"/>
          <w:szCs w:val="22"/>
        </w:rPr>
      </w:pPr>
      <w:r>
        <w:rPr>
          <w:rFonts w:ascii="Cambria" w:hAnsi="Cambria"/>
          <w:i/>
          <w:sz w:val="22"/>
          <w:szCs w:val="22"/>
        </w:rPr>
        <w:t xml:space="preserve">Nickelprojekten: </w:t>
      </w:r>
      <w:r w:rsidRPr="00062080">
        <w:rPr>
          <w:rFonts w:ascii="Cambria" w:hAnsi="Cambria"/>
          <w:i/>
          <w:sz w:val="22"/>
          <w:szCs w:val="22"/>
        </w:rPr>
        <w:t xml:space="preserve">Rönnbäckenprojektet innefattar enligt SRK en resurs om 668 miljoner ton enligt kategorierna ”measured &amp; indicated”. Den preliminära ekonomiska studie som SRK färdigställt förutser en produktion om 26 000 ton höggradigt nickelkoncentrat per år under 20 år, vilket skulle vara en betydande andel av Sveriges totala årliga användning av nickel och ha ett strategiskt värde. </w:t>
      </w:r>
    </w:p>
    <w:p w14:paraId="0858C48C" w14:textId="77777777" w:rsidR="00A1573C" w:rsidRDefault="00A1573C" w:rsidP="00A1573C">
      <w:pPr>
        <w:ind w:right="89"/>
        <w:jc w:val="both"/>
        <w:rPr>
          <w:rFonts w:ascii="Cambria" w:hAnsi="Cambria"/>
          <w:i/>
          <w:sz w:val="22"/>
          <w:szCs w:val="22"/>
        </w:rPr>
      </w:pPr>
      <w:r w:rsidRPr="00062080">
        <w:rPr>
          <w:rFonts w:ascii="Cambria" w:hAnsi="Cambria"/>
          <w:i/>
          <w:sz w:val="22"/>
          <w:szCs w:val="22"/>
        </w:rPr>
        <w:t xml:space="preserve">Orrbäcken är en prospekteringslicens som bedöms ha potential som nickelfyndighet. </w:t>
      </w:r>
    </w:p>
    <w:p w14:paraId="14D20D00" w14:textId="4645D9A2" w:rsidR="00A1573C" w:rsidRPr="00062080" w:rsidRDefault="00A1573C" w:rsidP="00A1573C">
      <w:pPr>
        <w:ind w:right="89"/>
        <w:jc w:val="both"/>
        <w:rPr>
          <w:rFonts w:ascii="Cambria" w:hAnsi="Cambria"/>
          <w:i/>
          <w:sz w:val="22"/>
          <w:szCs w:val="22"/>
        </w:rPr>
      </w:pPr>
      <w:r>
        <w:rPr>
          <w:rFonts w:ascii="Cambria" w:hAnsi="Cambria"/>
          <w:i/>
          <w:sz w:val="22"/>
          <w:szCs w:val="22"/>
        </w:rPr>
        <w:lastRenderedPageBreak/>
        <w:t xml:space="preserve">Guldprojekten: Haveri ligger i dotterbolaget Palmex Mineral AB, som 2014 </w:t>
      </w:r>
      <w:r w:rsidRPr="00A1573C">
        <w:rPr>
          <w:rFonts w:ascii="Cambria" w:hAnsi="Cambria"/>
          <w:i/>
          <w:sz w:val="22"/>
          <w:szCs w:val="22"/>
        </w:rPr>
        <w:t>genomförde via konsultbolaget SRK Consulting en s k Preliminary Economic Assessment (PEA). I denna rapport anges en beräkning om 1,56 miljoner oz. historisk antagen mineraltillgång i form av guldekvivalenter med halten 0,93 g/t guld.)</w:t>
      </w:r>
      <w:r w:rsidR="00D57A41">
        <w:rPr>
          <w:rFonts w:ascii="Cambria" w:hAnsi="Cambria"/>
          <w:i/>
          <w:sz w:val="22"/>
          <w:szCs w:val="22"/>
        </w:rPr>
        <w:t xml:space="preserve"> </w:t>
      </w:r>
      <w:r w:rsidRPr="00062080">
        <w:rPr>
          <w:rFonts w:ascii="Cambria" w:hAnsi="Cambria"/>
          <w:i/>
          <w:sz w:val="22"/>
          <w:szCs w:val="22"/>
        </w:rPr>
        <w:t>Kattisavan bedöms främst ha potential som guldtillgång</w:t>
      </w:r>
      <w:r>
        <w:rPr>
          <w:rFonts w:ascii="Cambria" w:hAnsi="Cambria"/>
          <w:i/>
          <w:sz w:val="22"/>
          <w:szCs w:val="22"/>
        </w:rPr>
        <w:t xml:space="preserve"> och</w:t>
      </w:r>
      <w:r w:rsidRPr="00062080">
        <w:rPr>
          <w:rFonts w:ascii="Cambria" w:hAnsi="Cambria"/>
          <w:i/>
          <w:sz w:val="22"/>
          <w:szCs w:val="22"/>
        </w:rPr>
        <w:t xml:space="preserve"> ligger inom den s k guldlinjen, i närheten av projekt som Svartliden och Fäboliden samt Barsele.  </w:t>
      </w:r>
    </w:p>
    <w:p w14:paraId="2CDCF117" w14:textId="4EA857AD" w:rsidR="006303B5" w:rsidRPr="006303B5" w:rsidRDefault="006303B5" w:rsidP="00BD1449">
      <w:pPr>
        <w:pStyle w:val="Rubrik"/>
        <w:spacing w:before="0" w:after="0" w:line="300" w:lineRule="exact"/>
        <w:jc w:val="left"/>
        <w:rPr>
          <w:rFonts w:ascii="Cambria" w:hAnsi="Cambria"/>
          <w:sz w:val="22"/>
          <w:szCs w:val="22"/>
          <w:lang w:val="sv-SE"/>
        </w:rPr>
      </w:pPr>
    </w:p>
    <w:p w14:paraId="641AE9C0" w14:textId="504D6C22" w:rsidR="006303B5" w:rsidRPr="006303B5" w:rsidRDefault="006303B5" w:rsidP="006303B5">
      <w:pPr>
        <w:jc w:val="both"/>
        <w:rPr>
          <w:rFonts w:ascii="Cambria" w:hAnsi="Cambria"/>
          <w:sz w:val="22"/>
          <w:szCs w:val="22"/>
        </w:rPr>
      </w:pPr>
      <w:r w:rsidRPr="006303B5">
        <w:rPr>
          <w:rFonts w:ascii="Cambria" w:hAnsi="Cambria" w:cs="Arial"/>
          <w:b/>
          <w:color w:val="000000"/>
          <w:sz w:val="22"/>
          <w:szCs w:val="22"/>
        </w:rPr>
        <w:t xml:space="preserve">Aktsamhetsuppmaning: </w:t>
      </w:r>
      <w:r w:rsidRPr="006303B5">
        <w:rPr>
          <w:rFonts w:ascii="Cambria" w:hAnsi="Cambria"/>
          <w:sz w:val="22"/>
          <w:szCs w:val="22"/>
        </w:rPr>
        <w:t xml:space="preserve">Uttalanden och antaganden gjorda i bolagets informationsgivning med avseende på Nickel Mountain Resources </w:t>
      </w:r>
      <w:r w:rsidR="00960126" w:rsidRPr="006303B5">
        <w:rPr>
          <w:rFonts w:ascii="Cambria" w:hAnsi="Cambria"/>
          <w:sz w:val="22"/>
          <w:szCs w:val="22"/>
        </w:rPr>
        <w:t>AB:s</w:t>
      </w:r>
      <w:r w:rsidRPr="006303B5">
        <w:rPr>
          <w:rFonts w:ascii="Cambria" w:hAnsi="Cambria"/>
          <w:sz w:val="22"/>
          <w:szCs w:val="22"/>
        </w:rPr>
        <w:t xml:space="preserve"> (“NMR”) nuvarande planer, prognoser, strategier, tankar och övriga uttalanden som ej utgör historiska fakta är bedömningar eller s k ”forward looking statements” om </w:t>
      </w:r>
      <w:r w:rsidR="00960126" w:rsidRPr="006303B5">
        <w:rPr>
          <w:rFonts w:ascii="Cambria" w:hAnsi="Cambria"/>
          <w:sz w:val="22"/>
          <w:szCs w:val="22"/>
        </w:rPr>
        <w:t>NMR:s</w:t>
      </w:r>
      <w:r w:rsidRPr="006303B5">
        <w:rPr>
          <w:rFonts w:ascii="Cambria" w:hAnsi="Cambria"/>
          <w:sz w:val="22"/>
          <w:szCs w:val="22"/>
        </w:rPr>
        <w:t xml:space="preserve"> framtida verksamhet. Sådana bedömningar av framtiden inbegriper men är ej begränsade till uttalanden omfattande ord som ”kan komma”, ”avser”, ”planerar”, ”förväntar”, ”uppskattar”, ”tror”, ”bedömer”, ”prognostiserar” och liknande uttryck.  Sådana uttalanden reflekterar företagsledningens för NMR förväntningar och antaganden mot bakgrund av vid varje tillfälle tillgänglig information. Dessa uttalanden och förväntningar är föremål för ett stort antal risker och osäkerheter. Dessa, i sin tur, inbegriper men är ej begränsade till i) förändringar i den ekonomiska, legala och politiska miljön i de länder vari NMR har verksamhet, ii) förändringar i den geologiska informationen som finns tillgänglig vad avser av bolaget drivna projekt, iii) NMRs förmåga att kontinuerligt säkerställa tillräcklig finansiering för att bedriva sin verksamhet som en ”going concern”, iv) framgången vad avser koncernens deltagande, om överhuvudtaget, i olika intressebolag, joint ventures eller andra allianser, v) förändringar i råvarupriser, i synnerhet vad gäller nickel, olja eller gas. Mot bakgrund av de många risker och osäkerheter som existerar i varje mineralprojekt på ett tidigt stadium, kan den faktiska framtida utvecklingen för NMR komma att väsentligt avvika från den i bolagets informationsgivning förväntade. NMR påtar sig ingen ovillkorlig skyldighet att omedelbart uppdatera sådana framtidsbedömningar. </w:t>
      </w:r>
    </w:p>
    <w:bookmarkEnd w:id="0"/>
    <w:p w14:paraId="2B386FA0" w14:textId="77777777" w:rsidR="006303B5" w:rsidRPr="006303B5" w:rsidRDefault="006303B5" w:rsidP="00BD1449">
      <w:pPr>
        <w:pStyle w:val="Rubrik"/>
        <w:spacing w:before="0" w:after="0" w:line="300" w:lineRule="exact"/>
        <w:jc w:val="left"/>
        <w:rPr>
          <w:rFonts w:ascii="Cambria" w:hAnsi="Cambria"/>
          <w:sz w:val="22"/>
          <w:szCs w:val="22"/>
          <w:lang w:val="sv-SE"/>
        </w:rPr>
      </w:pPr>
    </w:p>
    <w:sectPr w:rsidR="006303B5" w:rsidRPr="006303B5" w:rsidSect="009B7027">
      <w:headerReference w:type="default" r:id="rId7"/>
      <w:footerReference w:type="default" r:id="rId8"/>
      <w:pgSz w:w="11906" w:h="16838"/>
      <w:pgMar w:top="1843" w:right="1417" w:bottom="184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97147" w14:textId="77777777" w:rsidR="004242FA" w:rsidRDefault="004242FA">
      <w:r>
        <w:separator/>
      </w:r>
    </w:p>
  </w:endnote>
  <w:endnote w:type="continuationSeparator" w:id="0">
    <w:p w14:paraId="7AB6B6C9" w14:textId="77777777" w:rsidR="004242FA" w:rsidRDefault="004242FA">
      <w:r>
        <w:continuationSeparator/>
      </w:r>
    </w:p>
  </w:endnote>
  <w:endnote w:type="continuationNotice" w:id="1">
    <w:p w14:paraId="68718259" w14:textId="77777777" w:rsidR="004242FA" w:rsidRDefault="00424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altName w:val="Arial Nova 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4DCF" w14:textId="58B92056" w:rsidR="009D63E7" w:rsidRPr="00BA6388" w:rsidRDefault="009D63E7" w:rsidP="009D63E7">
    <w:pPr>
      <w:spacing w:after="60"/>
      <w:ind w:left="-567" w:right="-816"/>
      <w:jc w:val="center"/>
      <w:rPr>
        <w:rFonts w:ascii="Helvetica Neue Light" w:hAnsi="Helvetica Neue Light"/>
        <w:color w:val="44546A" w:themeColor="text2"/>
        <w:spacing w:val="16"/>
        <w:kern w:val="15"/>
        <w:sz w:val="14"/>
      </w:rPr>
    </w:pPr>
    <w:r w:rsidRPr="00BA6388">
      <w:rPr>
        <w:rFonts w:ascii="Helvetica Neue Light" w:hAnsi="Helvetica Neue Light"/>
        <w:color w:val="44546A" w:themeColor="text2"/>
        <w:spacing w:val="16"/>
        <w:kern w:val="15"/>
        <w:sz w:val="14"/>
      </w:rPr>
      <w:t>Nickel Mountain Resources AB (</w:t>
    </w:r>
    <w:r>
      <w:rPr>
        <w:rFonts w:ascii="Helvetica Neue Light" w:hAnsi="Helvetica Neue Light"/>
        <w:color w:val="44546A" w:themeColor="text2"/>
        <w:spacing w:val="16"/>
        <w:kern w:val="15"/>
        <w:sz w:val="14"/>
      </w:rPr>
      <w:t>p</w:t>
    </w:r>
    <w:r w:rsidRPr="00BA6388">
      <w:rPr>
        <w:rFonts w:ascii="Helvetica Neue Light" w:hAnsi="Helvetica Neue Light"/>
        <w:color w:val="44546A" w:themeColor="text2"/>
        <w:spacing w:val="16"/>
        <w:kern w:val="15"/>
        <w:sz w:val="14"/>
      </w:rPr>
      <w:t xml:space="preserve">ubl) Södra Allégatan 13, 413 01 Göteborg, Sweden </w:t>
    </w:r>
    <w:r w:rsidR="00960126" w:rsidRPr="00BA6388">
      <w:rPr>
        <w:rFonts w:ascii="Helvetica Neue Light" w:hAnsi="Helvetica Neue Light"/>
        <w:color w:val="44546A" w:themeColor="text2"/>
        <w:spacing w:val="16"/>
        <w:kern w:val="15"/>
        <w:sz w:val="14"/>
      </w:rPr>
      <w:t>Tel: +</w:t>
    </w:r>
    <w:r w:rsidRPr="00BA6388">
      <w:rPr>
        <w:rFonts w:ascii="Helvetica Neue Light" w:hAnsi="Helvetica Neue Light"/>
        <w:color w:val="44546A" w:themeColor="text2"/>
        <w:spacing w:val="16"/>
        <w:kern w:val="15"/>
        <w:sz w:val="14"/>
      </w:rPr>
      <w:t xml:space="preserve">46 (0)31 </w:t>
    </w:r>
    <w:r>
      <w:rPr>
        <w:rFonts w:ascii="Helvetica Neue Light" w:hAnsi="Helvetica Neue Light"/>
        <w:color w:val="44546A" w:themeColor="text2"/>
        <w:spacing w:val="16"/>
        <w:kern w:val="15"/>
        <w:sz w:val="14"/>
      </w:rPr>
      <w:t>13 11 90</w:t>
    </w:r>
  </w:p>
  <w:p w14:paraId="7F4BDACF" w14:textId="77777777" w:rsidR="009D63E7" w:rsidRPr="00BA6388" w:rsidRDefault="004242FA" w:rsidP="009D63E7">
    <w:pPr>
      <w:spacing w:after="120"/>
      <w:ind w:left="-567" w:right="-816"/>
      <w:jc w:val="center"/>
      <w:rPr>
        <w:rFonts w:ascii="Helvetica Neue Light" w:hAnsi="Helvetica Neue Light"/>
        <w:color w:val="44546A" w:themeColor="text2"/>
        <w:spacing w:val="16"/>
        <w:kern w:val="15"/>
        <w:sz w:val="14"/>
      </w:rPr>
    </w:pPr>
    <w:hyperlink r:id="rId1" w:history="1">
      <w:r w:rsidR="009D63E7" w:rsidRPr="00BA6388">
        <w:rPr>
          <w:rFonts w:ascii="Helvetica Neue Light" w:hAnsi="Helvetica Neue Light"/>
          <w:color w:val="44546A" w:themeColor="text2"/>
          <w:spacing w:val="16"/>
          <w:kern w:val="15"/>
          <w:sz w:val="14"/>
        </w:rPr>
        <w:t>www.nickelmountain.se</w:t>
      </w:r>
    </w:hyperlink>
    <w:r w:rsidR="009D63E7" w:rsidRPr="00BA6388">
      <w:rPr>
        <w:rFonts w:ascii="Helvetica Neue Light" w:hAnsi="Helvetica Neue Light"/>
        <w:color w:val="44546A" w:themeColor="text2"/>
        <w:spacing w:val="16"/>
        <w:kern w:val="15"/>
        <w:sz w:val="14"/>
      </w:rPr>
      <w:t xml:space="preserve">  </w:t>
    </w:r>
    <w:hyperlink r:id="rId2" w:history="1">
      <w:r w:rsidR="009D63E7" w:rsidRPr="00BA6388">
        <w:rPr>
          <w:rFonts w:ascii="Helvetica Neue Light" w:hAnsi="Helvetica Neue Light"/>
          <w:color w:val="44546A" w:themeColor="text2"/>
          <w:spacing w:val="16"/>
          <w:kern w:val="15"/>
          <w:sz w:val="14"/>
        </w:rPr>
        <w:t>info@nickelmountain.se</w:t>
      </w:r>
    </w:hyperlink>
  </w:p>
  <w:p w14:paraId="73A98576" w14:textId="77777777" w:rsidR="009D63E7" w:rsidRDefault="009D63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E9E7E" w14:textId="77777777" w:rsidR="004242FA" w:rsidRDefault="004242FA">
      <w:r>
        <w:separator/>
      </w:r>
    </w:p>
  </w:footnote>
  <w:footnote w:type="continuationSeparator" w:id="0">
    <w:p w14:paraId="78C692CD" w14:textId="77777777" w:rsidR="004242FA" w:rsidRDefault="004242FA">
      <w:r>
        <w:continuationSeparator/>
      </w:r>
    </w:p>
  </w:footnote>
  <w:footnote w:type="continuationNotice" w:id="1">
    <w:p w14:paraId="53F40E0B" w14:textId="77777777" w:rsidR="004242FA" w:rsidRDefault="004242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C0D7" w14:textId="6D4845F0" w:rsidR="009D63E7" w:rsidRDefault="009D63E7" w:rsidP="009D63E7">
    <w:pPr>
      <w:pStyle w:val="Sidhuvud"/>
      <w:jc w:val="right"/>
    </w:pPr>
    <w:r>
      <w:rPr>
        <w:noProof/>
      </w:rPr>
      <w:drawing>
        <wp:inline distT="0" distB="0" distL="0" distR="0" wp14:anchorId="08AFEF84" wp14:editId="60846102">
          <wp:extent cx="1057275" cy="485140"/>
          <wp:effectExtent l="0" t="0" r="952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176BF"/>
    <w:multiLevelType w:val="hybridMultilevel"/>
    <w:tmpl w:val="9B0E118E"/>
    <w:lvl w:ilvl="0" w:tplc="C97AC842">
      <w:start w:val="1"/>
      <w:numFmt w:val="lowerLetter"/>
      <w:lvlText w:val="%1)"/>
      <w:lvlJc w:val="left"/>
      <w:pPr>
        <w:ind w:left="360" w:hanging="360"/>
      </w:pPr>
      <w:rPr>
        <w:b w:val="0"/>
        <w:bCs w:val="0"/>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 w15:restartNumberingAfterBreak="0">
    <w:nsid w:val="54016197"/>
    <w:multiLevelType w:val="hybridMultilevel"/>
    <w:tmpl w:val="43AA5B7E"/>
    <w:lvl w:ilvl="0" w:tplc="041D000F">
      <w:start w:val="1"/>
      <w:numFmt w:val="decimal"/>
      <w:lvlText w:val="%1."/>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5F267951"/>
    <w:multiLevelType w:val="hybridMultilevel"/>
    <w:tmpl w:val="DE4499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6DED7D08"/>
    <w:multiLevelType w:val="hybridMultilevel"/>
    <w:tmpl w:val="DE26E51E"/>
    <w:lvl w:ilvl="0" w:tplc="D676F898">
      <w:start w:val="3"/>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04961"/>
    <w:multiLevelType w:val="hybridMultilevel"/>
    <w:tmpl w:val="9ECA1E8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3D"/>
    <w:rsid w:val="00001F78"/>
    <w:rsid w:val="000037D3"/>
    <w:rsid w:val="0000523D"/>
    <w:rsid w:val="00006B0A"/>
    <w:rsid w:val="00021B81"/>
    <w:rsid w:val="00024687"/>
    <w:rsid w:val="00033B35"/>
    <w:rsid w:val="000410E5"/>
    <w:rsid w:val="000517C3"/>
    <w:rsid w:val="000713E6"/>
    <w:rsid w:val="00081A8C"/>
    <w:rsid w:val="00096B83"/>
    <w:rsid w:val="000A2AAA"/>
    <w:rsid w:val="000B16A6"/>
    <w:rsid w:val="000B173B"/>
    <w:rsid w:val="000B4CCD"/>
    <w:rsid w:val="000C4249"/>
    <w:rsid w:val="000D4165"/>
    <w:rsid w:val="000D726F"/>
    <w:rsid w:val="000E41AC"/>
    <w:rsid w:val="000F7F06"/>
    <w:rsid w:val="00106AB1"/>
    <w:rsid w:val="00107148"/>
    <w:rsid w:val="001208F0"/>
    <w:rsid w:val="00121225"/>
    <w:rsid w:val="00127C19"/>
    <w:rsid w:val="001339FC"/>
    <w:rsid w:val="00137D42"/>
    <w:rsid w:val="00145F06"/>
    <w:rsid w:val="0015053A"/>
    <w:rsid w:val="00154374"/>
    <w:rsid w:val="0016130F"/>
    <w:rsid w:val="00172131"/>
    <w:rsid w:val="00174F1F"/>
    <w:rsid w:val="001A352A"/>
    <w:rsid w:val="001A5E87"/>
    <w:rsid w:val="001B0E46"/>
    <w:rsid w:val="001B1767"/>
    <w:rsid w:val="001B25C9"/>
    <w:rsid w:val="001B4EA7"/>
    <w:rsid w:val="001C0749"/>
    <w:rsid w:val="001C7BF6"/>
    <w:rsid w:val="001D00E4"/>
    <w:rsid w:val="001E0535"/>
    <w:rsid w:val="001E30BC"/>
    <w:rsid w:val="001F56F6"/>
    <w:rsid w:val="00207052"/>
    <w:rsid w:val="00210187"/>
    <w:rsid w:val="002144B6"/>
    <w:rsid w:val="00224016"/>
    <w:rsid w:val="00226AB6"/>
    <w:rsid w:val="0024495D"/>
    <w:rsid w:val="00246854"/>
    <w:rsid w:val="00250501"/>
    <w:rsid w:val="00251C39"/>
    <w:rsid w:val="00261B6C"/>
    <w:rsid w:val="00263B68"/>
    <w:rsid w:val="0027191A"/>
    <w:rsid w:val="0027297D"/>
    <w:rsid w:val="00287A2B"/>
    <w:rsid w:val="00296672"/>
    <w:rsid w:val="00297440"/>
    <w:rsid w:val="002A056D"/>
    <w:rsid w:val="002A1D72"/>
    <w:rsid w:val="002A23CF"/>
    <w:rsid w:val="002A4860"/>
    <w:rsid w:val="002A4F33"/>
    <w:rsid w:val="002C6BC3"/>
    <w:rsid w:val="002C79C4"/>
    <w:rsid w:val="002D17D2"/>
    <w:rsid w:val="002D7303"/>
    <w:rsid w:val="002E3E62"/>
    <w:rsid w:val="002E5763"/>
    <w:rsid w:val="002F29EE"/>
    <w:rsid w:val="002F2F9D"/>
    <w:rsid w:val="002F633D"/>
    <w:rsid w:val="003049EA"/>
    <w:rsid w:val="00334E62"/>
    <w:rsid w:val="00342396"/>
    <w:rsid w:val="00347806"/>
    <w:rsid w:val="0035433C"/>
    <w:rsid w:val="00356D53"/>
    <w:rsid w:val="00362717"/>
    <w:rsid w:val="00366C98"/>
    <w:rsid w:val="00376583"/>
    <w:rsid w:val="003767DD"/>
    <w:rsid w:val="00381172"/>
    <w:rsid w:val="00387DCB"/>
    <w:rsid w:val="00387F46"/>
    <w:rsid w:val="0039034F"/>
    <w:rsid w:val="00391CA7"/>
    <w:rsid w:val="00393A24"/>
    <w:rsid w:val="00394A73"/>
    <w:rsid w:val="003B5929"/>
    <w:rsid w:val="003C3534"/>
    <w:rsid w:val="003C3F95"/>
    <w:rsid w:val="003D4F74"/>
    <w:rsid w:val="003D62B0"/>
    <w:rsid w:val="003D7AB9"/>
    <w:rsid w:val="003E772A"/>
    <w:rsid w:val="003F0FB0"/>
    <w:rsid w:val="003F2D61"/>
    <w:rsid w:val="004010BA"/>
    <w:rsid w:val="0040239D"/>
    <w:rsid w:val="00405B99"/>
    <w:rsid w:val="00410190"/>
    <w:rsid w:val="0041106B"/>
    <w:rsid w:val="004242FA"/>
    <w:rsid w:val="004312CA"/>
    <w:rsid w:val="00442AF9"/>
    <w:rsid w:val="00452402"/>
    <w:rsid w:val="004559C2"/>
    <w:rsid w:val="00457A35"/>
    <w:rsid w:val="00487DFE"/>
    <w:rsid w:val="004948E1"/>
    <w:rsid w:val="00496A1A"/>
    <w:rsid w:val="004A0B8A"/>
    <w:rsid w:val="004A359E"/>
    <w:rsid w:val="004A38F3"/>
    <w:rsid w:val="004A43D8"/>
    <w:rsid w:val="004A5894"/>
    <w:rsid w:val="004B7956"/>
    <w:rsid w:val="004C115A"/>
    <w:rsid w:val="004C6DA8"/>
    <w:rsid w:val="004D4677"/>
    <w:rsid w:val="004D484C"/>
    <w:rsid w:val="004E0B65"/>
    <w:rsid w:val="004E254F"/>
    <w:rsid w:val="004F1743"/>
    <w:rsid w:val="004F1E6B"/>
    <w:rsid w:val="004F27D5"/>
    <w:rsid w:val="004F3A5F"/>
    <w:rsid w:val="004F7CE5"/>
    <w:rsid w:val="00503D35"/>
    <w:rsid w:val="00506253"/>
    <w:rsid w:val="00520974"/>
    <w:rsid w:val="00522AF1"/>
    <w:rsid w:val="00524EC2"/>
    <w:rsid w:val="005277B3"/>
    <w:rsid w:val="00531AD3"/>
    <w:rsid w:val="0054030D"/>
    <w:rsid w:val="0054248E"/>
    <w:rsid w:val="005460F6"/>
    <w:rsid w:val="00551F72"/>
    <w:rsid w:val="00557BD4"/>
    <w:rsid w:val="00581376"/>
    <w:rsid w:val="00597E7F"/>
    <w:rsid w:val="005A0984"/>
    <w:rsid w:val="005A20EA"/>
    <w:rsid w:val="005A3633"/>
    <w:rsid w:val="005B5FAD"/>
    <w:rsid w:val="005B6609"/>
    <w:rsid w:val="005C00B0"/>
    <w:rsid w:val="005D33EF"/>
    <w:rsid w:val="005E179D"/>
    <w:rsid w:val="005E6704"/>
    <w:rsid w:val="005E6BEA"/>
    <w:rsid w:val="005F05D9"/>
    <w:rsid w:val="005F08C4"/>
    <w:rsid w:val="0060189E"/>
    <w:rsid w:val="0060393F"/>
    <w:rsid w:val="00603F57"/>
    <w:rsid w:val="0061312F"/>
    <w:rsid w:val="0061716E"/>
    <w:rsid w:val="006232CD"/>
    <w:rsid w:val="0063019E"/>
    <w:rsid w:val="006303B5"/>
    <w:rsid w:val="006326C3"/>
    <w:rsid w:val="00633D99"/>
    <w:rsid w:val="006507E5"/>
    <w:rsid w:val="00671427"/>
    <w:rsid w:val="00671AD9"/>
    <w:rsid w:val="00674AA1"/>
    <w:rsid w:val="00687EB8"/>
    <w:rsid w:val="006911A3"/>
    <w:rsid w:val="00692D4C"/>
    <w:rsid w:val="006938FC"/>
    <w:rsid w:val="006961C0"/>
    <w:rsid w:val="006A0D63"/>
    <w:rsid w:val="006A56D2"/>
    <w:rsid w:val="006B4A1B"/>
    <w:rsid w:val="006B68CF"/>
    <w:rsid w:val="006D32C0"/>
    <w:rsid w:val="006E0EA1"/>
    <w:rsid w:val="006F049D"/>
    <w:rsid w:val="00706FF8"/>
    <w:rsid w:val="00707231"/>
    <w:rsid w:val="00712BE7"/>
    <w:rsid w:val="00712F63"/>
    <w:rsid w:val="00715DD9"/>
    <w:rsid w:val="0071698A"/>
    <w:rsid w:val="007204EA"/>
    <w:rsid w:val="00723021"/>
    <w:rsid w:val="00725DA2"/>
    <w:rsid w:val="00732F8C"/>
    <w:rsid w:val="007443F0"/>
    <w:rsid w:val="00745945"/>
    <w:rsid w:val="00752F9F"/>
    <w:rsid w:val="00757EFE"/>
    <w:rsid w:val="007649E4"/>
    <w:rsid w:val="0077150B"/>
    <w:rsid w:val="00782A0E"/>
    <w:rsid w:val="0078347B"/>
    <w:rsid w:val="00783534"/>
    <w:rsid w:val="007963CF"/>
    <w:rsid w:val="007A5DB5"/>
    <w:rsid w:val="007B76C3"/>
    <w:rsid w:val="007C75C3"/>
    <w:rsid w:val="007D2F3E"/>
    <w:rsid w:val="007D315C"/>
    <w:rsid w:val="007D64A2"/>
    <w:rsid w:val="007D7C6F"/>
    <w:rsid w:val="007E3DD2"/>
    <w:rsid w:val="00801902"/>
    <w:rsid w:val="00801FA9"/>
    <w:rsid w:val="008043EF"/>
    <w:rsid w:val="00807D11"/>
    <w:rsid w:val="00825731"/>
    <w:rsid w:val="0082587D"/>
    <w:rsid w:val="00830577"/>
    <w:rsid w:val="008318AB"/>
    <w:rsid w:val="008530FC"/>
    <w:rsid w:val="00854794"/>
    <w:rsid w:val="00861AB0"/>
    <w:rsid w:val="00875B83"/>
    <w:rsid w:val="008776EA"/>
    <w:rsid w:val="0088772C"/>
    <w:rsid w:val="008914E8"/>
    <w:rsid w:val="00892962"/>
    <w:rsid w:val="008A26B9"/>
    <w:rsid w:val="008B2323"/>
    <w:rsid w:val="008B33F9"/>
    <w:rsid w:val="008B6D6B"/>
    <w:rsid w:val="008B6E32"/>
    <w:rsid w:val="008C24CD"/>
    <w:rsid w:val="008C3B79"/>
    <w:rsid w:val="008C7563"/>
    <w:rsid w:val="008D1507"/>
    <w:rsid w:val="008D2EC2"/>
    <w:rsid w:val="008D62A9"/>
    <w:rsid w:val="008D7AAC"/>
    <w:rsid w:val="008E3629"/>
    <w:rsid w:val="008E587A"/>
    <w:rsid w:val="008E5BE3"/>
    <w:rsid w:val="008F3331"/>
    <w:rsid w:val="008F3565"/>
    <w:rsid w:val="008F3B58"/>
    <w:rsid w:val="008F783B"/>
    <w:rsid w:val="00900D6A"/>
    <w:rsid w:val="00904835"/>
    <w:rsid w:val="00910A54"/>
    <w:rsid w:val="00913431"/>
    <w:rsid w:val="00915710"/>
    <w:rsid w:val="00915C3F"/>
    <w:rsid w:val="00930F58"/>
    <w:rsid w:val="00947120"/>
    <w:rsid w:val="00954987"/>
    <w:rsid w:val="009559D3"/>
    <w:rsid w:val="00960126"/>
    <w:rsid w:val="00964270"/>
    <w:rsid w:val="0096561D"/>
    <w:rsid w:val="00971BD8"/>
    <w:rsid w:val="00972DFF"/>
    <w:rsid w:val="00987477"/>
    <w:rsid w:val="009927C5"/>
    <w:rsid w:val="00992BFA"/>
    <w:rsid w:val="0099765C"/>
    <w:rsid w:val="009A2E59"/>
    <w:rsid w:val="009B34AC"/>
    <w:rsid w:val="009B7027"/>
    <w:rsid w:val="009C21FE"/>
    <w:rsid w:val="009C4F81"/>
    <w:rsid w:val="009D5CED"/>
    <w:rsid w:val="009D63E7"/>
    <w:rsid w:val="009D7E86"/>
    <w:rsid w:val="009E14D2"/>
    <w:rsid w:val="009E1F37"/>
    <w:rsid w:val="009F3979"/>
    <w:rsid w:val="00A1573C"/>
    <w:rsid w:val="00A35572"/>
    <w:rsid w:val="00A4331A"/>
    <w:rsid w:val="00A5133D"/>
    <w:rsid w:val="00A54EBF"/>
    <w:rsid w:val="00A606AB"/>
    <w:rsid w:val="00A72F39"/>
    <w:rsid w:val="00A81EB6"/>
    <w:rsid w:val="00A84671"/>
    <w:rsid w:val="00A938E3"/>
    <w:rsid w:val="00A948C8"/>
    <w:rsid w:val="00A96D52"/>
    <w:rsid w:val="00AA19A9"/>
    <w:rsid w:val="00AA5F96"/>
    <w:rsid w:val="00AC28C7"/>
    <w:rsid w:val="00AD20A4"/>
    <w:rsid w:val="00AD3C16"/>
    <w:rsid w:val="00AE4977"/>
    <w:rsid w:val="00AE517C"/>
    <w:rsid w:val="00AF3BAE"/>
    <w:rsid w:val="00B00348"/>
    <w:rsid w:val="00B063BC"/>
    <w:rsid w:val="00B2671A"/>
    <w:rsid w:val="00B3137B"/>
    <w:rsid w:val="00B319DB"/>
    <w:rsid w:val="00B33515"/>
    <w:rsid w:val="00B42824"/>
    <w:rsid w:val="00B4284A"/>
    <w:rsid w:val="00B44038"/>
    <w:rsid w:val="00B521BA"/>
    <w:rsid w:val="00B5681D"/>
    <w:rsid w:val="00B56986"/>
    <w:rsid w:val="00B7151B"/>
    <w:rsid w:val="00B7220D"/>
    <w:rsid w:val="00B75827"/>
    <w:rsid w:val="00B83937"/>
    <w:rsid w:val="00B84F4E"/>
    <w:rsid w:val="00B86EFF"/>
    <w:rsid w:val="00B92E3B"/>
    <w:rsid w:val="00B93FE8"/>
    <w:rsid w:val="00B9486D"/>
    <w:rsid w:val="00BB00C1"/>
    <w:rsid w:val="00BB2D0A"/>
    <w:rsid w:val="00BB305E"/>
    <w:rsid w:val="00BC2D3A"/>
    <w:rsid w:val="00BD1449"/>
    <w:rsid w:val="00BE29B7"/>
    <w:rsid w:val="00BF2E19"/>
    <w:rsid w:val="00BF7AF1"/>
    <w:rsid w:val="00C021CC"/>
    <w:rsid w:val="00C16ECF"/>
    <w:rsid w:val="00C201FD"/>
    <w:rsid w:val="00C2700B"/>
    <w:rsid w:val="00C43417"/>
    <w:rsid w:val="00C44242"/>
    <w:rsid w:val="00C50046"/>
    <w:rsid w:val="00C548CB"/>
    <w:rsid w:val="00C54A2B"/>
    <w:rsid w:val="00C60B29"/>
    <w:rsid w:val="00C82351"/>
    <w:rsid w:val="00CA26DF"/>
    <w:rsid w:val="00CB0033"/>
    <w:rsid w:val="00CB1BD4"/>
    <w:rsid w:val="00CD106F"/>
    <w:rsid w:val="00CD10D0"/>
    <w:rsid w:val="00CD29FC"/>
    <w:rsid w:val="00CD5DE7"/>
    <w:rsid w:val="00CD6C7F"/>
    <w:rsid w:val="00CE4865"/>
    <w:rsid w:val="00CE5276"/>
    <w:rsid w:val="00CE661D"/>
    <w:rsid w:val="00CF3E2A"/>
    <w:rsid w:val="00D1355C"/>
    <w:rsid w:val="00D13B19"/>
    <w:rsid w:val="00D13D87"/>
    <w:rsid w:val="00D13DF7"/>
    <w:rsid w:val="00D16A6D"/>
    <w:rsid w:val="00D2340D"/>
    <w:rsid w:val="00D3200E"/>
    <w:rsid w:val="00D32250"/>
    <w:rsid w:val="00D32F8E"/>
    <w:rsid w:val="00D36898"/>
    <w:rsid w:val="00D50A90"/>
    <w:rsid w:val="00D57278"/>
    <w:rsid w:val="00D5731C"/>
    <w:rsid w:val="00D57A41"/>
    <w:rsid w:val="00D70CE6"/>
    <w:rsid w:val="00D71388"/>
    <w:rsid w:val="00D72010"/>
    <w:rsid w:val="00D7268B"/>
    <w:rsid w:val="00D72BD6"/>
    <w:rsid w:val="00D75999"/>
    <w:rsid w:val="00D81055"/>
    <w:rsid w:val="00D95C83"/>
    <w:rsid w:val="00D96DAE"/>
    <w:rsid w:val="00DA0D92"/>
    <w:rsid w:val="00DA2F8F"/>
    <w:rsid w:val="00DB455C"/>
    <w:rsid w:val="00DB4F05"/>
    <w:rsid w:val="00DC67DE"/>
    <w:rsid w:val="00DD00F1"/>
    <w:rsid w:val="00DD02EC"/>
    <w:rsid w:val="00DD5332"/>
    <w:rsid w:val="00DD75B1"/>
    <w:rsid w:val="00DE1F3E"/>
    <w:rsid w:val="00DE4532"/>
    <w:rsid w:val="00DE527F"/>
    <w:rsid w:val="00DF0C4A"/>
    <w:rsid w:val="00DF369F"/>
    <w:rsid w:val="00E10E86"/>
    <w:rsid w:val="00E12C0C"/>
    <w:rsid w:val="00E21CD9"/>
    <w:rsid w:val="00E242B3"/>
    <w:rsid w:val="00E24FB3"/>
    <w:rsid w:val="00E2744E"/>
    <w:rsid w:val="00E306C3"/>
    <w:rsid w:val="00E331D9"/>
    <w:rsid w:val="00E40CA7"/>
    <w:rsid w:val="00E51FF6"/>
    <w:rsid w:val="00E56512"/>
    <w:rsid w:val="00E56D53"/>
    <w:rsid w:val="00E61258"/>
    <w:rsid w:val="00E61491"/>
    <w:rsid w:val="00E6354E"/>
    <w:rsid w:val="00E70648"/>
    <w:rsid w:val="00E7736D"/>
    <w:rsid w:val="00E90865"/>
    <w:rsid w:val="00E94B41"/>
    <w:rsid w:val="00E95AA2"/>
    <w:rsid w:val="00E97E33"/>
    <w:rsid w:val="00EA2012"/>
    <w:rsid w:val="00EA4B19"/>
    <w:rsid w:val="00EC1524"/>
    <w:rsid w:val="00EC3CA8"/>
    <w:rsid w:val="00EC672D"/>
    <w:rsid w:val="00ED4889"/>
    <w:rsid w:val="00ED57C0"/>
    <w:rsid w:val="00ED584E"/>
    <w:rsid w:val="00ED5BBC"/>
    <w:rsid w:val="00EE447A"/>
    <w:rsid w:val="00EE50A8"/>
    <w:rsid w:val="00EF0DBE"/>
    <w:rsid w:val="00F03009"/>
    <w:rsid w:val="00F105C7"/>
    <w:rsid w:val="00F122EE"/>
    <w:rsid w:val="00F13078"/>
    <w:rsid w:val="00F16E48"/>
    <w:rsid w:val="00F17B83"/>
    <w:rsid w:val="00F372B5"/>
    <w:rsid w:val="00F41758"/>
    <w:rsid w:val="00F5165E"/>
    <w:rsid w:val="00F62544"/>
    <w:rsid w:val="00F74C7E"/>
    <w:rsid w:val="00F74CF1"/>
    <w:rsid w:val="00F8318B"/>
    <w:rsid w:val="00F84324"/>
    <w:rsid w:val="00F84CDD"/>
    <w:rsid w:val="00F87B15"/>
    <w:rsid w:val="00F928A4"/>
    <w:rsid w:val="00FA3CF0"/>
    <w:rsid w:val="00FA7434"/>
    <w:rsid w:val="00FB33F5"/>
    <w:rsid w:val="00FB57C6"/>
    <w:rsid w:val="00FB6C41"/>
    <w:rsid w:val="00FC5655"/>
    <w:rsid w:val="00FD2789"/>
    <w:rsid w:val="00FD55A3"/>
    <w:rsid w:val="00FE470D"/>
    <w:rsid w:val="00FF7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900C3"/>
  <w15:chartTrackingRefBased/>
  <w15:docId w15:val="{F72190CE-7E01-4138-8E94-5C5CDCF5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1B"/>
  </w:style>
  <w:style w:type="paragraph" w:styleId="Rubrik1">
    <w:name w:val="heading 1"/>
    <w:basedOn w:val="Normal"/>
    <w:next w:val="Normal"/>
    <w:qFormat/>
    <w:rsid w:val="006B4A1B"/>
    <w:pPr>
      <w:keepNext/>
      <w:spacing w:line="320" w:lineRule="exact"/>
      <w:jc w:val="center"/>
      <w:outlineLvl w:val="0"/>
    </w:pPr>
    <w:rPr>
      <w:rFonts w:ascii="Arial" w:hAnsi="Arial" w:cs="Arial"/>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0"/>
    <w:qFormat/>
    <w:rsid w:val="006B4A1B"/>
    <w:pPr>
      <w:spacing w:before="240" w:after="60"/>
      <w:jc w:val="center"/>
      <w:outlineLvl w:val="0"/>
    </w:pPr>
    <w:rPr>
      <w:rFonts w:ascii="Arial" w:hAnsi="Arial" w:cs="Arial"/>
      <w:b/>
      <w:bCs/>
      <w:kern w:val="28"/>
      <w:sz w:val="32"/>
      <w:szCs w:val="32"/>
      <w:lang w:val="en-US"/>
    </w:rPr>
  </w:style>
  <w:style w:type="paragraph" w:styleId="Brdtextmedindrag">
    <w:name w:val="Body Text Indent"/>
    <w:basedOn w:val="Normal"/>
    <w:link w:val="BrdtextmedindragChar"/>
    <w:uiPriority w:val="99"/>
    <w:rsid w:val="006B4A1B"/>
    <w:pPr>
      <w:spacing w:after="120"/>
      <w:ind w:left="283"/>
    </w:pPr>
  </w:style>
  <w:style w:type="character" w:styleId="Hyperlnk">
    <w:name w:val="Hyperlink"/>
    <w:uiPriority w:val="99"/>
    <w:unhideWhenUsed/>
    <w:rsid w:val="006961C0"/>
    <w:rPr>
      <w:color w:val="0000FF"/>
      <w:u w:val="single"/>
    </w:rPr>
  </w:style>
  <w:style w:type="character" w:customStyle="1" w:styleId="RubrikChar">
    <w:name w:val="Rubrik Char"/>
    <w:link w:val="Rubrik"/>
    <w:uiPriority w:val="10"/>
    <w:rsid w:val="00F13078"/>
    <w:rPr>
      <w:rFonts w:ascii="Arial" w:hAnsi="Arial" w:cs="Arial"/>
      <w:b/>
      <w:bCs/>
      <w:kern w:val="28"/>
      <w:sz w:val="32"/>
      <w:szCs w:val="32"/>
      <w:lang w:val="en-US"/>
    </w:rPr>
  </w:style>
  <w:style w:type="character" w:customStyle="1" w:styleId="googqs-tidbit1">
    <w:name w:val="goog_qs-tidbit1"/>
    <w:rsid w:val="004B7956"/>
    <w:rPr>
      <w:vanish w:val="0"/>
      <w:webHidden w:val="0"/>
      <w:specVanish w:val="0"/>
    </w:rPr>
  </w:style>
  <w:style w:type="paragraph" w:styleId="Ballongtext">
    <w:name w:val="Balloon Text"/>
    <w:basedOn w:val="Normal"/>
    <w:link w:val="BallongtextChar"/>
    <w:uiPriority w:val="99"/>
    <w:semiHidden/>
    <w:unhideWhenUsed/>
    <w:rsid w:val="00137D42"/>
    <w:rPr>
      <w:rFonts w:ascii="Segoe UI" w:hAnsi="Segoe UI" w:cs="Segoe UI"/>
      <w:sz w:val="18"/>
      <w:szCs w:val="18"/>
    </w:rPr>
  </w:style>
  <w:style w:type="character" w:customStyle="1" w:styleId="BallongtextChar">
    <w:name w:val="Ballongtext Char"/>
    <w:link w:val="Ballongtext"/>
    <w:uiPriority w:val="99"/>
    <w:semiHidden/>
    <w:rsid w:val="00137D42"/>
    <w:rPr>
      <w:rFonts w:ascii="Segoe UI" w:hAnsi="Segoe UI" w:cs="Segoe UI"/>
      <w:sz w:val="18"/>
      <w:szCs w:val="18"/>
    </w:rPr>
  </w:style>
  <w:style w:type="paragraph" w:styleId="Sidhuvud">
    <w:name w:val="header"/>
    <w:basedOn w:val="Normal"/>
    <w:link w:val="SidhuvudChar"/>
    <w:uiPriority w:val="99"/>
    <w:unhideWhenUsed/>
    <w:rsid w:val="002F29EE"/>
    <w:pPr>
      <w:tabs>
        <w:tab w:val="center" w:pos="4703"/>
        <w:tab w:val="right" w:pos="9406"/>
      </w:tabs>
    </w:pPr>
  </w:style>
  <w:style w:type="character" w:customStyle="1" w:styleId="SidhuvudChar">
    <w:name w:val="Sidhuvud Char"/>
    <w:basedOn w:val="Standardstycketeckensnitt"/>
    <w:link w:val="Sidhuvud"/>
    <w:uiPriority w:val="99"/>
    <w:rsid w:val="002F29EE"/>
  </w:style>
  <w:style w:type="paragraph" w:styleId="Sidfot">
    <w:name w:val="footer"/>
    <w:basedOn w:val="Normal"/>
    <w:link w:val="SidfotChar"/>
    <w:uiPriority w:val="99"/>
    <w:unhideWhenUsed/>
    <w:rsid w:val="002F29EE"/>
    <w:pPr>
      <w:tabs>
        <w:tab w:val="center" w:pos="4703"/>
        <w:tab w:val="right" w:pos="9406"/>
      </w:tabs>
    </w:pPr>
  </w:style>
  <w:style w:type="character" w:customStyle="1" w:styleId="SidfotChar">
    <w:name w:val="Sidfot Char"/>
    <w:basedOn w:val="Standardstycketeckensnitt"/>
    <w:link w:val="Sidfot"/>
    <w:uiPriority w:val="99"/>
    <w:rsid w:val="002F29EE"/>
  </w:style>
  <w:style w:type="paragraph" w:customStyle="1" w:styleId="BodyA">
    <w:name w:val="Body A"/>
    <w:rsid w:val="00BD1449"/>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rmalwebb">
    <w:name w:val="Normal (Web)"/>
    <w:basedOn w:val="Normal"/>
    <w:uiPriority w:val="99"/>
    <w:unhideWhenUsed/>
    <w:rsid w:val="005A20EA"/>
    <w:pPr>
      <w:spacing w:before="100" w:beforeAutospacing="1" w:after="100" w:afterAutospacing="1"/>
    </w:pPr>
    <w:rPr>
      <w:rFonts w:ascii="Calibri" w:eastAsiaTheme="minorHAnsi" w:hAnsi="Calibri" w:cs="Calibri"/>
      <w:sz w:val="22"/>
      <w:szCs w:val="22"/>
    </w:rPr>
  </w:style>
  <w:style w:type="character" w:styleId="Stark">
    <w:name w:val="Strong"/>
    <w:basedOn w:val="Standardstycketeckensnitt"/>
    <w:uiPriority w:val="22"/>
    <w:qFormat/>
    <w:rsid w:val="005A20EA"/>
    <w:rPr>
      <w:b/>
      <w:bCs/>
    </w:rPr>
  </w:style>
  <w:style w:type="character" w:customStyle="1" w:styleId="BrdtextmedindragChar">
    <w:name w:val="Brödtext med indrag Char"/>
    <w:basedOn w:val="Standardstycketeckensnitt"/>
    <w:link w:val="Brdtextmedindrag"/>
    <w:uiPriority w:val="99"/>
    <w:rsid w:val="0096561D"/>
  </w:style>
  <w:style w:type="character" w:styleId="Kommentarsreferens">
    <w:name w:val="annotation reference"/>
    <w:basedOn w:val="Standardstycketeckensnitt"/>
    <w:uiPriority w:val="99"/>
    <w:semiHidden/>
    <w:unhideWhenUsed/>
    <w:rsid w:val="00296672"/>
    <w:rPr>
      <w:sz w:val="16"/>
      <w:szCs w:val="16"/>
    </w:rPr>
  </w:style>
  <w:style w:type="paragraph" w:styleId="Kommentarer">
    <w:name w:val="annotation text"/>
    <w:basedOn w:val="Normal"/>
    <w:link w:val="KommentarerChar"/>
    <w:uiPriority w:val="99"/>
    <w:semiHidden/>
    <w:unhideWhenUsed/>
    <w:rsid w:val="00296672"/>
  </w:style>
  <w:style w:type="character" w:customStyle="1" w:styleId="KommentarerChar">
    <w:name w:val="Kommentarer Char"/>
    <w:basedOn w:val="Standardstycketeckensnitt"/>
    <w:link w:val="Kommentarer"/>
    <w:uiPriority w:val="99"/>
    <w:semiHidden/>
    <w:rsid w:val="00296672"/>
  </w:style>
  <w:style w:type="paragraph" w:styleId="Kommentarsmne">
    <w:name w:val="annotation subject"/>
    <w:basedOn w:val="Kommentarer"/>
    <w:next w:val="Kommentarer"/>
    <w:link w:val="KommentarsmneChar"/>
    <w:uiPriority w:val="99"/>
    <w:semiHidden/>
    <w:unhideWhenUsed/>
    <w:rsid w:val="00296672"/>
    <w:rPr>
      <w:b/>
      <w:bCs/>
    </w:rPr>
  </w:style>
  <w:style w:type="character" w:customStyle="1" w:styleId="KommentarsmneChar">
    <w:name w:val="Kommentarsämne Char"/>
    <w:basedOn w:val="KommentarerChar"/>
    <w:link w:val="Kommentarsmne"/>
    <w:uiPriority w:val="99"/>
    <w:semiHidden/>
    <w:rsid w:val="00296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98936">
      <w:bodyDiv w:val="1"/>
      <w:marLeft w:val="0"/>
      <w:marRight w:val="0"/>
      <w:marTop w:val="0"/>
      <w:marBottom w:val="0"/>
      <w:divBdr>
        <w:top w:val="none" w:sz="0" w:space="0" w:color="auto"/>
        <w:left w:val="none" w:sz="0" w:space="0" w:color="auto"/>
        <w:bottom w:val="none" w:sz="0" w:space="0" w:color="auto"/>
        <w:right w:val="none" w:sz="0" w:space="0" w:color="auto"/>
      </w:divBdr>
    </w:div>
    <w:div w:id="380325421">
      <w:bodyDiv w:val="1"/>
      <w:marLeft w:val="0"/>
      <w:marRight w:val="0"/>
      <w:marTop w:val="0"/>
      <w:marBottom w:val="0"/>
      <w:divBdr>
        <w:top w:val="none" w:sz="0" w:space="0" w:color="auto"/>
        <w:left w:val="none" w:sz="0" w:space="0" w:color="auto"/>
        <w:bottom w:val="none" w:sz="0" w:space="0" w:color="auto"/>
        <w:right w:val="none" w:sz="0" w:space="0" w:color="auto"/>
      </w:divBdr>
    </w:div>
    <w:div w:id="987829117">
      <w:bodyDiv w:val="1"/>
      <w:marLeft w:val="0"/>
      <w:marRight w:val="0"/>
      <w:marTop w:val="0"/>
      <w:marBottom w:val="0"/>
      <w:divBdr>
        <w:top w:val="none" w:sz="0" w:space="0" w:color="auto"/>
        <w:left w:val="none" w:sz="0" w:space="0" w:color="auto"/>
        <w:bottom w:val="none" w:sz="0" w:space="0" w:color="auto"/>
        <w:right w:val="none" w:sz="0" w:space="0" w:color="auto"/>
      </w:divBdr>
      <w:divsChild>
        <w:div w:id="481890937">
          <w:marLeft w:val="0"/>
          <w:marRight w:val="0"/>
          <w:marTop w:val="0"/>
          <w:marBottom w:val="0"/>
          <w:divBdr>
            <w:top w:val="none" w:sz="0" w:space="0" w:color="auto"/>
            <w:left w:val="none" w:sz="0" w:space="0" w:color="auto"/>
            <w:bottom w:val="none" w:sz="0" w:space="0" w:color="auto"/>
            <w:right w:val="none" w:sz="0" w:space="0" w:color="auto"/>
          </w:divBdr>
          <w:divsChild>
            <w:div w:id="1007903451">
              <w:marLeft w:val="0"/>
              <w:marRight w:val="0"/>
              <w:marTop w:val="0"/>
              <w:marBottom w:val="0"/>
              <w:divBdr>
                <w:top w:val="none" w:sz="0" w:space="0" w:color="auto"/>
                <w:left w:val="none" w:sz="0" w:space="0" w:color="auto"/>
                <w:bottom w:val="none" w:sz="0" w:space="0" w:color="auto"/>
                <w:right w:val="none" w:sz="0" w:space="0" w:color="auto"/>
              </w:divBdr>
              <w:divsChild>
                <w:div w:id="2062903765">
                  <w:marLeft w:val="0"/>
                  <w:marRight w:val="0"/>
                  <w:marTop w:val="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566574194">
                          <w:marLeft w:val="294"/>
                          <w:marRight w:val="147"/>
                          <w:marTop w:val="588"/>
                          <w:marBottom w:val="294"/>
                          <w:divBdr>
                            <w:top w:val="none" w:sz="0" w:space="0" w:color="auto"/>
                            <w:left w:val="none" w:sz="0" w:space="0" w:color="auto"/>
                            <w:bottom w:val="none" w:sz="0" w:space="0" w:color="auto"/>
                            <w:right w:val="none" w:sz="0" w:space="0" w:color="auto"/>
                          </w:divBdr>
                          <w:divsChild>
                            <w:div w:id="892890080">
                              <w:marLeft w:val="0"/>
                              <w:marRight w:val="0"/>
                              <w:marTop w:val="0"/>
                              <w:marBottom w:val="0"/>
                              <w:divBdr>
                                <w:top w:val="none" w:sz="0" w:space="0" w:color="auto"/>
                                <w:left w:val="none" w:sz="0" w:space="0" w:color="auto"/>
                                <w:bottom w:val="none" w:sz="0" w:space="0" w:color="auto"/>
                                <w:right w:val="none" w:sz="0" w:space="0" w:color="auto"/>
                              </w:divBdr>
                              <w:divsChild>
                                <w:div w:id="770013344">
                                  <w:marLeft w:val="0"/>
                                  <w:marRight w:val="0"/>
                                  <w:marTop w:val="0"/>
                                  <w:marBottom w:val="0"/>
                                  <w:divBdr>
                                    <w:top w:val="none" w:sz="0" w:space="0" w:color="auto"/>
                                    <w:left w:val="none" w:sz="0" w:space="0" w:color="auto"/>
                                    <w:bottom w:val="none" w:sz="0" w:space="0" w:color="auto"/>
                                    <w:right w:val="none" w:sz="0" w:space="0" w:color="auto"/>
                                  </w:divBdr>
                                  <w:divsChild>
                                    <w:div w:id="1879777290">
                                      <w:marLeft w:val="0"/>
                                      <w:marRight w:val="0"/>
                                      <w:marTop w:val="0"/>
                                      <w:marBottom w:val="0"/>
                                      <w:divBdr>
                                        <w:top w:val="none" w:sz="0" w:space="0" w:color="auto"/>
                                        <w:left w:val="none" w:sz="0" w:space="0" w:color="auto"/>
                                        <w:bottom w:val="none" w:sz="0" w:space="0" w:color="auto"/>
                                        <w:right w:val="none" w:sz="0" w:space="0" w:color="auto"/>
                                      </w:divBdr>
                                      <w:divsChild>
                                        <w:div w:id="757292765">
                                          <w:marLeft w:val="0"/>
                                          <w:marRight w:val="0"/>
                                          <w:marTop w:val="0"/>
                                          <w:marBottom w:val="0"/>
                                          <w:divBdr>
                                            <w:top w:val="none" w:sz="0" w:space="0" w:color="auto"/>
                                            <w:left w:val="none" w:sz="0" w:space="0" w:color="auto"/>
                                            <w:bottom w:val="none" w:sz="0" w:space="0" w:color="auto"/>
                                            <w:right w:val="none" w:sz="0" w:space="0" w:color="auto"/>
                                          </w:divBdr>
                                          <w:divsChild>
                                            <w:div w:id="839659534">
                                              <w:marLeft w:val="0"/>
                                              <w:marRight w:val="0"/>
                                              <w:marTop w:val="0"/>
                                              <w:marBottom w:val="0"/>
                                              <w:divBdr>
                                                <w:top w:val="none" w:sz="0" w:space="0" w:color="auto"/>
                                                <w:left w:val="none" w:sz="0" w:space="0" w:color="auto"/>
                                                <w:bottom w:val="none" w:sz="0" w:space="0" w:color="auto"/>
                                                <w:right w:val="none" w:sz="0" w:space="0" w:color="auto"/>
                                              </w:divBdr>
                                              <w:divsChild>
                                                <w:div w:id="10575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921584">
      <w:bodyDiv w:val="1"/>
      <w:marLeft w:val="0"/>
      <w:marRight w:val="0"/>
      <w:marTop w:val="0"/>
      <w:marBottom w:val="0"/>
      <w:divBdr>
        <w:top w:val="none" w:sz="0" w:space="0" w:color="auto"/>
        <w:left w:val="none" w:sz="0" w:space="0" w:color="auto"/>
        <w:bottom w:val="none" w:sz="0" w:space="0" w:color="auto"/>
        <w:right w:val="none" w:sz="0" w:space="0" w:color="auto"/>
      </w:divBdr>
    </w:div>
    <w:div w:id="1126241058">
      <w:bodyDiv w:val="1"/>
      <w:marLeft w:val="0"/>
      <w:marRight w:val="0"/>
      <w:marTop w:val="0"/>
      <w:marBottom w:val="0"/>
      <w:divBdr>
        <w:top w:val="none" w:sz="0" w:space="0" w:color="auto"/>
        <w:left w:val="none" w:sz="0" w:space="0" w:color="auto"/>
        <w:bottom w:val="none" w:sz="0" w:space="0" w:color="auto"/>
        <w:right w:val="none" w:sz="0" w:space="0" w:color="auto"/>
      </w:divBdr>
    </w:div>
    <w:div w:id="1171145946">
      <w:bodyDiv w:val="1"/>
      <w:marLeft w:val="0"/>
      <w:marRight w:val="0"/>
      <w:marTop w:val="0"/>
      <w:marBottom w:val="0"/>
      <w:divBdr>
        <w:top w:val="none" w:sz="0" w:space="0" w:color="auto"/>
        <w:left w:val="none" w:sz="0" w:space="0" w:color="auto"/>
        <w:bottom w:val="none" w:sz="0" w:space="0" w:color="auto"/>
        <w:right w:val="none" w:sz="0" w:space="0" w:color="auto"/>
      </w:divBdr>
    </w:div>
    <w:div w:id="1926302722">
      <w:bodyDiv w:val="1"/>
      <w:marLeft w:val="0"/>
      <w:marRight w:val="0"/>
      <w:marTop w:val="0"/>
      <w:marBottom w:val="0"/>
      <w:divBdr>
        <w:top w:val="none" w:sz="0" w:space="0" w:color="auto"/>
        <w:left w:val="none" w:sz="0" w:space="0" w:color="auto"/>
        <w:bottom w:val="none" w:sz="0" w:space="0" w:color="auto"/>
        <w:right w:val="none" w:sz="0" w:space="0" w:color="auto"/>
      </w:divBdr>
    </w:div>
    <w:div w:id="2033220799">
      <w:bodyDiv w:val="1"/>
      <w:marLeft w:val="0"/>
      <w:marRight w:val="0"/>
      <w:marTop w:val="0"/>
      <w:marBottom w:val="0"/>
      <w:divBdr>
        <w:top w:val="none" w:sz="0" w:space="0" w:color="auto"/>
        <w:left w:val="none" w:sz="0" w:space="0" w:color="auto"/>
        <w:bottom w:val="none" w:sz="0" w:space="0" w:color="auto"/>
        <w:right w:val="none" w:sz="0" w:space="0" w:color="auto"/>
      </w:divBdr>
    </w:div>
    <w:div w:id="2037542615">
      <w:bodyDiv w:val="1"/>
      <w:marLeft w:val="0"/>
      <w:marRight w:val="0"/>
      <w:marTop w:val="0"/>
      <w:marBottom w:val="0"/>
      <w:divBdr>
        <w:top w:val="none" w:sz="0" w:space="0" w:color="auto"/>
        <w:left w:val="none" w:sz="0" w:space="0" w:color="auto"/>
        <w:bottom w:val="none" w:sz="0" w:space="0" w:color="auto"/>
        <w:right w:val="none" w:sz="0" w:space="0" w:color="auto"/>
      </w:divBdr>
    </w:div>
    <w:div w:id="2045211671">
      <w:bodyDiv w:val="1"/>
      <w:marLeft w:val="0"/>
      <w:marRight w:val="0"/>
      <w:marTop w:val="0"/>
      <w:marBottom w:val="0"/>
      <w:divBdr>
        <w:top w:val="none" w:sz="0" w:space="0" w:color="auto"/>
        <w:left w:val="none" w:sz="0" w:space="0" w:color="auto"/>
        <w:bottom w:val="none" w:sz="0" w:space="0" w:color="auto"/>
        <w:right w:val="none" w:sz="0" w:space="0" w:color="auto"/>
      </w:divBdr>
    </w:div>
    <w:div w:id="212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nickelmountain.se" TargetMode="External"/><Relationship Id="rId1" Type="http://schemas.openxmlformats.org/officeDocument/2006/relationships/hyperlink" Target="http://www.nickelmountai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797</Words>
  <Characters>4225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Archelon Mineral AB (publ)</vt:lpstr>
    </vt:vector>
  </TitlesOfParts>
  <Company>Nordic Law</Company>
  <LinksUpToDate>false</LinksUpToDate>
  <CharactersWithSpaces>5012</CharactersWithSpaces>
  <SharedDoc>false</SharedDoc>
  <HLinks>
    <vt:vector size="18" baseType="variant">
      <vt:variant>
        <vt:i4>983080</vt:i4>
      </vt:variant>
      <vt:variant>
        <vt:i4>6</vt:i4>
      </vt:variant>
      <vt:variant>
        <vt:i4>0</vt:i4>
      </vt:variant>
      <vt:variant>
        <vt:i4>5</vt:i4>
      </vt:variant>
      <vt:variant>
        <vt:lpwstr>mailto:vote@dnb.no</vt:lpwstr>
      </vt:variant>
      <vt:variant>
        <vt:lpwstr/>
      </vt:variant>
      <vt:variant>
        <vt:i4>852035</vt:i4>
      </vt:variant>
      <vt:variant>
        <vt:i4>3</vt:i4>
      </vt:variant>
      <vt:variant>
        <vt:i4>0</vt:i4>
      </vt:variant>
      <vt:variant>
        <vt:i4>5</vt:i4>
      </vt:variant>
      <vt:variant>
        <vt:lpwstr>http://www.nickelmountain.se/</vt:lpwstr>
      </vt:variant>
      <vt:variant>
        <vt:lpwstr/>
      </vt:variant>
      <vt:variant>
        <vt:i4>4063240</vt:i4>
      </vt:variant>
      <vt:variant>
        <vt:i4>0</vt:i4>
      </vt:variant>
      <vt:variant>
        <vt:i4>0</vt:i4>
      </vt:variant>
      <vt:variant>
        <vt:i4>5</vt:i4>
      </vt:variant>
      <vt:variant>
        <vt:lpwstr>mailto:info@nickelmountain.se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Archelon Mineral AB (publ)</dc:title>
  <dc:subject/>
  <dc:creator>My Simonsson</dc:creator>
  <cp:keywords/>
  <cp:lastModifiedBy>Anders Thorsell</cp:lastModifiedBy>
  <cp:revision>4</cp:revision>
  <cp:lastPrinted>2020-07-02T13:31:00Z</cp:lastPrinted>
  <dcterms:created xsi:type="dcterms:W3CDTF">2020-07-03T14:13:00Z</dcterms:created>
  <dcterms:modified xsi:type="dcterms:W3CDTF">2020-07-03T15:05:00Z</dcterms:modified>
</cp:coreProperties>
</file>